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3" w:rsidRPr="00F8402A" w:rsidRDefault="00F23FD7" w:rsidP="00A32708">
      <w:pPr>
        <w:tabs>
          <w:tab w:val="left" w:pos="7263"/>
        </w:tabs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-73660</wp:posOffset>
            </wp:positionV>
            <wp:extent cx="1394460" cy="1394460"/>
            <wp:effectExtent l="0" t="0" r="0" b="0"/>
            <wp:wrapNone/>
            <wp:docPr id="5" name="Picture 1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CE" w:rsidRPr="00F8402A">
        <w:rPr>
          <w:rFonts w:ascii="Calibri" w:hAnsi="Calibri" w:cs="Arial"/>
          <w:b/>
          <w:sz w:val="28"/>
          <w:szCs w:val="28"/>
        </w:rPr>
        <w:t xml:space="preserve">  </w:t>
      </w:r>
      <w:r w:rsidR="005C3E03" w:rsidRPr="00F8402A">
        <w:rPr>
          <w:rFonts w:ascii="Calibri" w:hAnsi="Calibri" w:cs="Arial"/>
          <w:b/>
          <w:sz w:val="28"/>
          <w:szCs w:val="28"/>
        </w:rPr>
        <w:t>TOWN OF KILLINGLY, CT</w:t>
      </w:r>
    </w:p>
    <w:p w:rsidR="005C3E03" w:rsidRPr="00F8402A" w:rsidRDefault="005C3E03" w:rsidP="00A32708">
      <w:pPr>
        <w:pStyle w:val="Heading5"/>
        <w:rPr>
          <w:rFonts w:ascii="Calibri" w:hAnsi="Calibri" w:cs="Arial"/>
          <w:sz w:val="28"/>
          <w:szCs w:val="28"/>
        </w:rPr>
      </w:pPr>
      <w:r w:rsidRPr="00F8402A">
        <w:rPr>
          <w:rFonts w:ascii="Calibri" w:hAnsi="Calibri" w:cs="Arial"/>
          <w:sz w:val="28"/>
          <w:szCs w:val="28"/>
        </w:rPr>
        <w:t>PLANNING AND ZONING COMMISSION</w:t>
      </w:r>
    </w:p>
    <w:p w:rsidR="003F27A0" w:rsidRPr="00F8402A" w:rsidRDefault="003F27A0" w:rsidP="00A32708">
      <w:pPr>
        <w:pStyle w:val="Heading5"/>
        <w:rPr>
          <w:rFonts w:ascii="Calibri" w:hAnsi="Calibri" w:cs="Arial"/>
          <w:sz w:val="16"/>
          <w:u w:val="single"/>
        </w:rPr>
      </w:pPr>
    </w:p>
    <w:p w:rsidR="005C3E03" w:rsidRPr="00F8402A" w:rsidRDefault="004A01EE" w:rsidP="00A32708">
      <w:pPr>
        <w:pStyle w:val="Heading5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 xml:space="preserve">Monday, </w:t>
      </w:r>
      <w:r w:rsidR="00753119">
        <w:rPr>
          <w:rFonts w:ascii="Calibri" w:hAnsi="Calibri" w:cs="Arial"/>
          <w:sz w:val="28"/>
          <w:szCs w:val="28"/>
          <w:u w:val="single"/>
        </w:rPr>
        <w:t>April 18, 2016</w:t>
      </w:r>
    </w:p>
    <w:p w:rsidR="00AE7611" w:rsidRPr="00F8402A" w:rsidRDefault="005E0A30" w:rsidP="00A32708">
      <w:pPr>
        <w:jc w:val="center"/>
        <w:rPr>
          <w:rFonts w:ascii="Calibri" w:hAnsi="Calibri" w:cs="Arial"/>
          <w:b/>
          <w:sz w:val="28"/>
          <w:szCs w:val="28"/>
        </w:rPr>
      </w:pPr>
      <w:r w:rsidRPr="00F8402A">
        <w:rPr>
          <w:rFonts w:ascii="Calibri" w:hAnsi="Calibri" w:cs="Arial"/>
          <w:b/>
          <w:sz w:val="28"/>
          <w:szCs w:val="28"/>
        </w:rPr>
        <w:t xml:space="preserve">Regular </w:t>
      </w:r>
      <w:r w:rsidR="00E75527" w:rsidRPr="00F8402A">
        <w:rPr>
          <w:rFonts w:ascii="Calibri" w:hAnsi="Calibri" w:cs="Arial"/>
          <w:b/>
          <w:sz w:val="28"/>
          <w:szCs w:val="28"/>
        </w:rPr>
        <w:t>M</w:t>
      </w:r>
      <w:r w:rsidR="00AE7611" w:rsidRPr="00F8402A">
        <w:rPr>
          <w:rFonts w:ascii="Calibri" w:hAnsi="Calibri" w:cs="Arial"/>
          <w:b/>
          <w:sz w:val="28"/>
          <w:szCs w:val="28"/>
        </w:rPr>
        <w:t>eeting</w:t>
      </w:r>
    </w:p>
    <w:p w:rsidR="005C3E03" w:rsidRPr="00F8402A" w:rsidRDefault="00284B0C" w:rsidP="00A3270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8402A">
        <w:rPr>
          <w:rFonts w:ascii="Calibri" w:hAnsi="Calibri" w:cs="Arial"/>
          <w:b/>
          <w:sz w:val="28"/>
          <w:szCs w:val="28"/>
          <w:u w:val="single"/>
        </w:rPr>
        <w:t>7:00</w:t>
      </w:r>
      <w:r w:rsidR="004C5E5E" w:rsidRPr="00F8402A">
        <w:rPr>
          <w:rFonts w:ascii="Calibri" w:hAnsi="Calibri" w:cs="Arial"/>
          <w:b/>
          <w:sz w:val="28"/>
          <w:szCs w:val="28"/>
          <w:u w:val="single"/>
        </w:rPr>
        <w:t xml:space="preserve"> PM</w:t>
      </w:r>
    </w:p>
    <w:p w:rsidR="004C5E5E" w:rsidRPr="00F8402A" w:rsidRDefault="004C5E5E" w:rsidP="00A32708">
      <w:pPr>
        <w:jc w:val="center"/>
        <w:rPr>
          <w:rFonts w:ascii="Calibri" w:hAnsi="Calibri" w:cs="Arial"/>
          <w:b/>
          <w:i/>
          <w:sz w:val="16"/>
          <w:u w:val="single"/>
        </w:rPr>
      </w:pPr>
    </w:p>
    <w:p w:rsidR="00D8005A" w:rsidRPr="00F8402A" w:rsidRDefault="00D8005A" w:rsidP="00A3270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8402A">
        <w:rPr>
          <w:rFonts w:ascii="Calibri" w:hAnsi="Calibri" w:cs="Arial"/>
          <w:b/>
          <w:sz w:val="28"/>
          <w:szCs w:val="28"/>
          <w:u w:val="single"/>
        </w:rPr>
        <w:t>Town Meeting Room, Second Floor</w:t>
      </w:r>
    </w:p>
    <w:p w:rsidR="004C5E5E" w:rsidRPr="00F8402A" w:rsidRDefault="004C5E5E" w:rsidP="00A32708">
      <w:pPr>
        <w:jc w:val="center"/>
        <w:rPr>
          <w:rFonts w:ascii="Calibri" w:hAnsi="Calibri" w:cs="Arial"/>
          <w:b/>
          <w:szCs w:val="24"/>
        </w:rPr>
      </w:pPr>
      <w:r w:rsidRPr="00F8402A">
        <w:rPr>
          <w:rFonts w:ascii="Calibri" w:hAnsi="Calibri" w:cs="Arial"/>
          <w:b/>
          <w:szCs w:val="24"/>
        </w:rPr>
        <w:t>Killingly Town Hall</w:t>
      </w:r>
    </w:p>
    <w:p w:rsidR="003344EA" w:rsidRPr="00F8402A" w:rsidRDefault="00DF58D7" w:rsidP="00A32708">
      <w:pPr>
        <w:jc w:val="center"/>
        <w:rPr>
          <w:rFonts w:ascii="Calibri" w:hAnsi="Calibri" w:cs="Arial"/>
          <w:b/>
          <w:szCs w:val="24"/>
        </w:rPr>
      </w:pPr>
      <w:r w:rsidRPr="00F8402A">
        <w:rPr>
          <w:rFonts w:ascii="Calibri" w:hAnsi="Calibri" w:cs="Arial"/>
          <w:b/>
          <w:szCs w:val="24"/>
        </w:rPr>
        <w:t>172 Main St., Killingly</w:t>
      </w:r>
    </w:p>
    <w:p w:rsidR="00A57EEF" w:rsidRPr="00F8402A" w:rsidRDefault="00A57EEF" w:rsidP="003D3BAE">
      <w:pPr>
        <w:rPr>
          <w:rFonts w:ascii="Calibri" w:hAnsi="Calibri" w:cs="Arial"/>
          <w:b/>
          <w:sz w:val="12"/>
          <w:szCs w:val="16"/>
        </w:rPr>
      </w:pPr>
    </w:p>
    <w:p w:rsidR="000000AF" w:rsidRPr="00F8402A" w:rsidRDefault="000000AF" w:rsidP="003D3BAE">
      <w:pPr>
        <w:rPr>
          <w:rFonts w:ascii="Calibri" w:hAnsi="Calibri" w:cs="Arial"/>
          <w:b/>
          <w:sz w:val="12"/>
          <w:szCs w:val="16"/>
        </w:rPr>
      </w:pPr>
    </w:p>
    <w:p w:rsidR="005C3E03" w:rsidRDefault="005C3E03" w:rsidP="00A32708">
      <w:pPr>
        <w:pStyle w:val="Heading1"/>
        <w:rPr>
          <w:rFonts w:ascii="Calibri" w:hAnsi="Calibri" w:cs="Arial"/>
          <w:sz w:val="28"/>
          <w:szCs w:val="28"/>
          <w:u w:val="single"/>
        </w:rPr>
      </w:pPr>
      <w:r w:rsidRPr="00F8402A">
        <w:rPr>
          <w:rFonts w:ascii="Calibri" w:hAnsi="Calibri" w:cs="Arial"/>
          <w:sz w:val="28"/>
          <w:szCs w:val="28"/>
          <w:u w:val="single"/>
        </w:rPr>
        <w:t>AGENDA</w:t>
      </w:r>
    </w:p>
    <w:p w:rsidR="004A01EE" w:rsidRPr="00C850B2" w:rsidRDefault="004A01EE" w:rsidP="004A01EE">
      <w:pPr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I.</w:t>
      </w:r>
      <w:r w:rsidRPr="00C850B2">
        <w:rPr>
          <w:rFonts w:ascii="Calibri" w:hAnsi="Calibri"/>
          <w:b/>
          <w:sz w:val="22"/>
          <w:szCs w:val="22"/>
        </w:rPr>
        <w:tab/>
        <w:t>CALL TO ORDER/ROLL CALL</w:t>
      </w:r>
    </w:p>
    <w:p w:rsidR="004A01EE" w:rsidRPr="00C850B2" w:rsidRDefault="004A01EE" w:rsidP="004A01EE">
      <w:pPr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II.</w:t>
      </w:r>
      <w:r w:rsidRPr="00C850B2">
        <w:rPr>
          <w:rFonts w:ascii="Calibri" w:hAnsi="Calibri"/>
          <w:b/>
          <w:sz w:val="22"/>
          <w:szCs w:val="22"/>
        </w:rPr>
        <w:tab/>
        <w:t>SEATING OF ALTERNATES</w:t>
      </w:r>
    </w:p>
    <w:p w:rsidR="004A01EE" w:rsidRPr="00C850B2" w:rsidRDefault="004A01EE" w:rsidP="004A01EE">
      <w:pPr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III.</w:t>
      </w:r>
      <w:r w:rsidRPr="00C850B2">
        <w:rPr>
          <w:rFonts w:ascii="Calibri" w:hAnsi="Calibri"/>
          <w:b/>
          <w:sz w:val="22"/>
          <w:szCs w:val="22"/>
        </w:rPr>
        <w:tab/>
        <w:t>AGENDA ADDENDUM</w:t>
      </w:r>
    </w:p>
    <w:p w:rsidR="004A01EE" w:rsidRPr="00C850B2" w:rsidRDefault="004A01EE" w:rsidP="004A01EE">
      <w:pPr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IV.</w:t>
      </w:r>
      <w:r w:rsidRPr="00C850B2">
        <w:rPr>
          <w:rFonts w:ascii="Calibri" w:hAnsi="Calibri"/>
          <w:b/>
          <w:sz w:val="22"/>
          <w:szCs w:val="22"/>
        </w:rPr>
        <w:tab/>
        <w:t xml:space="preserve">CITIZENS’ COMMENTS ON ITEMS </w:t>
      </w:r>
      <w:r w:rsidRPr="00C850B2">
        <w:rPr>
          <w:rFonts w:ascii="Calibri" w:hAnsi="Calibri"/>
          <w:b/>
          <w:sz w:val="22"/>
          <w:szCs w:val="22"/>
          <w:u w:val="single"/>
        </w:rPr>
        <w:t>NOT SUBJECT TO PUBLIC HEARING</w:t>
      </w:r>
      <w:r w:rsidRPr="00C850B2">
        <w:rPr>
          <w:rFonts w:ascii="Calibri" w:hAnsi="Calibri"/>
          <w:sz w:val="22"/>
          <w:szCs w:val="22"/>
        </w:rPr>
        <w:t xml:space="preserve"> (Individual presentations not to exceed 3 minutes; limited to an aggregate of 21 minutes unless otherwise indicated by a majority vote of the Commission)</w:t>
      </w:r>
    </w:p>
    <w:p w:rsidR="004A01EE" w:rsidRPr="00C850B2" w:rsidRDefault="004A01EE" w:rsidP="004A01EE">
      <w:pPr>
        <w:ind w:left="720" w:hanging="720"/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V.</w:t>
      </w:r>
      <w:r w:rsidRPr="00C850B2">
        <w:rPr>
          <w:rFonts w:ascii="Calibri" w:hAnsi="Calibri"/>
          <w:b/>
          <w:sz w:val="22"/>
          <w:szCs w:val="22"/>
        </w:rPr>
        <w:tab/>
        <w:t>COMMISSION/STAFF RESPONSES TO CITIZENS’ COMMENTS</w:t>
      </w:r>
    </w:p>
    <w:p w:rsidR="004A01EE" w:rsidRPr="00C850B2" w:rsidRDefault="004A01EE" w:rsidP="004A01EE">
      <w:pPr>
        <w:ind w:left="720" w:hanging="720"/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VI.</w:t>
      </w:r>
      <w:r w:rsidRPr="00C850B2">
        <w:rPr>
          <w:rFonts w:ascii="Calibri" w:hAnsi="Calibri"/>
          <w:b/>
          <w:sz w:val="22"/>
          <w:szCs w:val="22"/>
        </w:rPr>
        <w:tab/>
        <w:t>PUBLIC HEARINGS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A.  Zone Change Applications</w:t>
      </w:r>
    </w:p>
    <w:p w:rsidR="00D63E46" w:rsidRDefault="00753119" w:rsidP="00D23727">
      <w:pPr>
        <w:ind w:left="720"/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>1.</w:t>
      </w:r>
      <w:r w:rsidRPr="004E1A12">
        <w:rPr>
          <w:rFonts w:ascii="Calibri" w:hAnsi="Calibri"/>
          <w:sz w:val="22"/>
          <w:szCs w:val="22"/>
        </w:rPr>
        <w:t xml:space="preserve">  Planning and Zoning Commission – initiated Zone (Map) Change – Application #16-112</w:t>
      </w:r>
      <w:r>
        <w:rPr>
          <w:rFonts w:ascii="Calibri" w:hAnsi="Calibri"/>
          <w:sz w:val="22"/>
          <w:szCs w:val="22"/>
        </w:rPr>
        <w:t>7</w:t>
      </w:r>
      <w:r w:rsidRPr="004E1A12">
        <w:rPr>
          <w:rFonts w:ascii="Calibri" w:hAnsi="Calibri"/>
          <w:sz w:val="22"/>
          <w:szCs w:val="22"/>
        </w:rPr>
        <w:t xml:space="preserve">; Section 900; to change various parcels along Rte. 101 a/k/a Hartford Pike from </w:t>
      </w:r>
      <w:r>
        <w:rPr>
          <w:rFonts w:ascii="Calibri" w:hAnsi="Calibri"/>
          <w:sz w:val="22"/>
          <w:szCs w:val="22"/>
        </w:rPr>
        <w:t>Village Commercial to Medium Density (3 parcels); Low Density to Medium Density (13 parcels); and from Milled Mix Use Development to Medium Density (1 parcel) – said parcels are listed below as follows:</w:t>
      </w:r>
    </w:p>
    <w:p w:rsidR="00D23727" w:rsidRPr="0003296E" w:rsidRDefault="00D63E46" w:rsidP="00D23727">
      <w:pPr>
        <w:pStyle w:val="Date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</w:t>
      </w:r>
      <w:r w:rsidR="00D23727" w:rsidRPr="0003296E">
        <w:rPr>
          <w:rFonts w:ascii="Calibri" w:hAnsi="Calibri" w:cs="Arial"/>
          <w:sz w:val="20"/>
        </w:rPr>
        <w:t>he properties under consideration for rezoning from Village Commercial to Medium Density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89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1296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Martin, Michelle A. &amp; Peter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101/14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~1.30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1302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Stockford, David R. &amp; Pamela M.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101/15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1370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Miller, Francis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100/19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Portion of~1.07</w:t>
            </w:r>
          </w:p>
        </w:tc>
      </w:tr>
    </w:tbl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</w:p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  <w:r w:rsidRPr="0003296E">
        <w:rPr>
          <w:rFonts w:ascii="Calibri" w:hAnsi="Calibri" w:cs="Arial"/>
          <w:sz w:val="20"/>
        </w:rPr>
        <w:t>The properties under consideration for rezoning from Low Density to Medium Density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71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1293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Norgren, Robert W. &amp; Paula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101/42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~0.69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1301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St. Martin, Brian P. &amp; Tammy L.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101/41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~0.87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1305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Krogul, John P. &amp; Mildred E.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101/40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1306 Hartford Pike 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Austin, Dawn &amp; William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101/16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~0.37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1309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Merrill, Martin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101/39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~0.41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1310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Jeffs, Lindsay A. &amp; William H.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101/17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~0.75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1315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Bourgalt, John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101/38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~0.31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1316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Graff, Barbara A.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101/18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~0.22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1322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Shekleton, James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101/19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~0.65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1357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Union Baptist Church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100/72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~0.22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11 Chestnut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Paquin, Kenneth A. &amp; Lynn A.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101/20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~5.4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19 Chestnut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Shekleton, James A.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101/21 (portion of)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~6.0 acres out of ~11.3 acres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628 Valley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Kruckas, Mary B. &amp; Lamont, Robin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101/37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~1.10</w:t>
            </w:r>
          </w:p>
        </w:tc>
      </w:tr>
    </w:tbl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</w:p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  <w:r w:rsidRPr="0003296E">
        <w:rPr>
          <w:rFonts w:ascii="Calibri" w:hAnsi="Calibri" w:cs="Arial"/>
          <w:sz w:val="20"/>
        </w:rPr>
        <w:t>The property under consideration for rezoning from Mill Mixed Use Development to Medium Density is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71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963 Bailey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Bailey Hill Management, LLC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100/66</w:t>
            </w:r>
          </w:p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(portion of)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~3.6 acres out of ~53 acres</w:t>
            </w:r>
          </w:p>
        </w:tc>
      </w:tr>
    </w:tbl>
    <w:p w:rsidR="00753119" w:rsidRPr="00C850B2" w:rsidRDefault="00753119" w:rsidP="00753119">
      <w:pPr>
        <w:ind w:left="1440"/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B.  Special Permits</w:t>
      </w:r>
      <w:r w:rsidR="000C1C61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C.  Site Plan Reviews</w:t>
      </w:r>
      <w:r w:rsidR="000C1C61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D.  Subdivisions</w:t>
      </w:r>
      <w:r w:rsidR="000C1C61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E.  Other</w:t>
      </w:r>
      <w:r w:rsidR="000C1C61" w:rsidRPr="00C850B2">
        <w:rPr>
          <w:rFonts w:ascii="Calibri" w:hAnsi="Calibri"/>
          <w:b/>
          <w:sz w:val="22"/>
          <w:szCs w:val="22"/>
        </w:rPr>
        <w:t>/</w:t>
      </w:r>
      <w:r w:rsidRPr="00C850B2">
        <w:rPr>
          <w:rFonts w:ascii="Calibri" w:hAnsi="Calibri"/>
          <w:b/>
          <w:sz w:val="22"/>
          <w:szCs w:val="22"/>
        </w:rPr>
        <w:t>Various</w:t>
      </w:r>
      <w:r w:rsidR="000C1C61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sz w:val="18"/>
          <w:szCs w:val="18"/>
        </w:rPr>
      </w:pPr>
      <w:r w:rsidRPr="00C850B2">
        <w:rPr>
          <w:rFonts w:ascii="Calibri" w:hAnsi="Calibri"/>
          <w:sz w:val="18"/>
          <w:szCs w:val="18"/>
        </w:rPr>
        <w:t>Hearings’ segment closes.</w:t>
      </w:r>
    </w:p>
    <w:p w:rsidR="004A01EE" w:rsidRPr="00C850B2" w:rsidRDefault="004A01EE" w:rsidP="004A01EE">
      <w:pPr>
        <w:ind w:left="720" w:hanging="720"/>
        <w:rPr>
          <w:rFonts w:ascii="Calibri" w:hAnsi="Calibri"/>
          <w:sz w:val="18"/>
          <w:szCs w:val="18"/>
        </w:rPr>
      </w:pPr>
      <w:r w:rsidRPr="00C850B2">
        <w:rPr>
          <w:rFonts w:ascii="Calibri" w:hAnsi="Calibri"/>
          <w:sz w:val="18"/>
          <w:szCs w:val="18"/>
        </w:rPr>
        <w:t>Meeting Business will continue.</w:t>
      </w:r>
    </w:p>
    <w:p w:rsidR="004A01EE" w:rsidRPr="00C850B2" w:rsidRDefault="004A01EE" w:rsidP="004A01EE">
      <w:pPr>
        <w:ind w:left="720" w:hanging="720"/>
        <w:rPr>
          <w:rFonts w:ascii="Calibri" w:hAnsi="Calibri"/>
          <w:sz w:val="18"/>
          <w:szCs w:val="18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VII.</w:t>
      </w:r>
      <w:r w:rsidRPr="00C850B2">
        <w:rPr>
          <w:rFonts w:ascii="Calibri" w:hAnsi="Calibri"/>
          <w:b/>
          <w:sz w:val="22"/>
          <w:szCs w:val="22"/>
        </w:rPr>
        <w:tab/>
        <w:t>UNFINISHED BUSINESS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A.  Zone Change Applications</w:t>
      </w:r>
    </w:p>
    <w:p w:rsidR="00D23727" w:rsidRDefault="00D23727" w:rsidP="00D23727">
      <w:pPr>
        <w:ind w:left="720"/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>1.</w:t>
      </w:r>
      <w:r w:rsidRPr="004E1A12">
        <w:rPr>
          <w:rFonts w:ascii="Calibri" w:hAnsi="Calibri"/>
          <w:sz w:val="22"/>
          <w:szCs w:val="22"/>
        </w:rPr>
        <w:t xml:space="preserve">  Planning and Zoning Commission – initiated Zone (Map) Change – Application #16-112</w:t>
      </w:r>
      <w:r>
        <w:rPr>
          <w:rFonts w:ascii="Calibri" w:hAnsi="Calibri"/>
          <w:sz w:val="22"/>
          <w:szCs w:val="22"/>
        </w:rPr>
        <w:t>7</w:t>
      </w:r>
      <w:r w:rsidRPr="004E1A12">
        <w:rPr>
          <w:rFonts w:ascii="Calibri" w:hAnsi="Calibri"/>
          <w:sz w:val="22"/>
          <w:szCs w:val="22"/>
        </w:rPr>
        <w:t xml:space="preserve">; Section 900; to change various parcels along Rte. 101 a/k/a Hartford Pike from </w:t>
      </w:r>
      <w:r>
        <w:rPr>
          <w:rFonts w:ascii="Calibri" w:hAnsi="Calibri"/>
          <w:sz w:val="22"/>
          <w:szCs w:val="22"/>
        </w:rPr>
        <w:t>Village Commercial to Medium Density (3 parcels); Low Density to Medium Density (13 parcels); and from Milled Mix Use Development to Medium Density (1 parcel) – said parcels are listed below as follows:</w:t>
      </w:r>
    </w:p>
    <w:p w:rsidR="00D63E46" w:rsidRDefault="00D63E46" w:rsidP="00D23727">
      <w:pPr>
        <w:ind w:left="720"/>
        <w:rPr>
          <w:rFonts w:ascii="Calibri" w:hAnsi="Calibri"/>
          <w:sz w:val="22"/>
          <w:szCs w:val="22"/>
        </w:rPr>
      </w:pPr>
    </w:p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  <w:r w:rsidRPr="0003296E">
        <w:rPr>
          <w:rFonts w:ascii="Calibri" w:hAnsi="Calibri" w:cs="Arial"/>
          <w:sz w:val="20"/>
        </w:rPr>
        <w:t>The properties under consideration for rezoning from Village Commercial to Medium Density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89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1296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Martin, Michelle A. &amp; Peter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101/14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~1.30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1302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Stockford, David R. &amp; Pamela M.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101/15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1370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Miller, Francis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100/19</w:t>
            </w:r>
          </w:p>
        </w:tc>
        <w:tc>
          <w:tcPr>
            <w:tcW w:w="189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Portion of~1.07</w:t>
            </w:r>
          </w:p>
        </w:tc>
      </w:tr>
    </w:tbl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</w:p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  <w:r w:rsidRPr="0003296E">
        <w:rPr>
          <w:rFonts w:ascii="Calibri" w:hAnsi="Calibri" w:cs="Arial"/>
          <w:sz w:val="20"/>
        </w:rPr>
        <w:t>The properties under consideration for rezoning from Low Density to Medium Density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71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1293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Norgren, Robert W. &amp; Paula J.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101/42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~0.69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1301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St. Martin, Brian P. &amp; Tammy L.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101/41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~0.87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1305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Krogul, John P. &amp; Mildred E.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101/40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~0.60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1306 Hartford Pike 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Austin, Dawn &amp; William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101/16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~0.37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1309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Merrill, Martin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101/39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~0.41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1310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Jeffs, Lindsay A. &amp; William H.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101/17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~0.75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1315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Bourgalt, John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101/38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~0.31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1316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Graff, Barbara A.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101/18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~0.22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1322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Shekleton, James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101/19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~0.65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1357 Hartford Pike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Union Baptist Church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100/72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~0.22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11 Chestnut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Paquin, Kenneth A. &amp; Lynn A.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101/20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~5.4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19 Chestnut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Shekleton, James A.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101/21 (portion of)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~6.0 acres out of ~11.3 acres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628 Valley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 xml:space="preserve">Kruckas, Mary B. &amp; Lamont, Robin 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101/37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~1.10</w:t>
            </w:r>
          </w:p>
        </w:tc>
      </w:tr>
    </w:tbl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</w:p>
    <w:p w:rsidR="00D23727" w:rsidRPr="0003296E" w:rsidRDefault="00D23727" w:rsidP="00D23727">
      <w:pPr>
        <w:pStyle w:val="Date"/>
        <w:jc w:val="both"/>
        <w:rPr>
          <w:rFonts w:ascii="Calibri" w:hAnsi="Calibri" w:cs="Arial"/>
          <w:sz w:val="20"/>
        </w:rPr>
      </w:pPr>
      <w:r w:rsidRPr="0003296E">
        <w:rPr>
          <w:rFonts w:ascii="Calibri" w:hAnsi="Calibri" w:cs="Arial"/>
          <w:sz w:val="20"/>
        </w:rPr>
        <w:t>The property under consideration for rezoning from Mill Mixed Use Development to Medium Density is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  <w:gridCol w:w="1530"/>
        <w:gridCol w:w="1710"/>
      </w:tblGrid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OWNER(S)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 xml:space="preserve">MAP &amp; LOT 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b/>
                <w:sz w:val="20"/>
              </w:rPr>
            </w:pPr>
            <w:r w:rsidRPr="0003296E">
              <w:rPr>
                <w:rFonts w:ascii="Calibri" w:hAnsi="Calibri" w:cs="Arial"/>
                <w:b/>
                <w:sz w:val="20"/>
              </w:rPr>
              <w:t>ACREAGE +/-</w:t>
            </w:r>
          </w:p>
        </w:tc>
      </w:tr>
      <w:tr w:rsidR="00D23727" w:rsidRPr="0003296E" w:rsidTr="00F1540C">
        <w:tc>
          <w:tcPr>
            <w:tcW w:w="2538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963 Bailey Hill Road</w:t>
            </w:r>
          </w:p>
        </w:tc>
        <w:tc>
          <w:tcPr>
            <w:tcW w:w="378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Bailey Hill Management, LLC</w:t>
            </w:r>
          </w:p>
        </w:tc>
        <w:tc>
          <w:tcPr>
            <w:tcW w:w="153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100/66</w:t>
            </w:r>
          </w:p>
          <w:p w:rsidR="00D23727" w:rsidRPr="0003296E" w:rsidRDefault="00D23727" w:rsidP="00F1540C">
            <w:pPr>
              <w:pStyle w:val="Date"/>
              <w:jc w:val="both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(portion of)</w:t>
            </w:r>
          </w:p>
        </w:tc>
        <w:tc>
          <w:tcPr>
            <w:tcW w:w="1710" w:type="dxa"/>
            <w:shd w:val="clear" w:color="auto" w:fill="auto"/>
          </w:tcPr>
          <w:p w:rsidR="00D23727" w:rsidRPr="0003296E" w:rsidRDefault="00D23727" w:rsidP="00F1540C">
            <w:pPr>
              <w:pStyle w:val="Date"/>
              <w:jc w:val="right"/>
              <w:rPr>
                <w:rFonts w:ascii="Calibri" w:hAnsi="Calibri" w:cs="Arial"/>
                <w:sz w:val="20"/>
              </w:rPr>
            </w:pPr>
            <w:r w:rsidRPr="0003296E">
              <w:rPr>
                <w:rFonts w:ascii="Calibri" w:hAnsi="Calibri" w:cs="Arial"/>
                <w:sz w:val="20"/>
              </w:rPr>
              <w:t>~3.6 acres out of ~53 acres</w:t>
            </w:r>
          </w:p>
        </w:tc>
      </w:tr>
    </w:tbl>
    <w:p w:rsidR="00D23727" w:rsidRPr="00C850B2" w:rsidRDefault="00D23727" w:rsidP="00D23727">
      <w:pPr>
        <w:ind w:left="1440"/>
        <w:rPr>
          <w:rFonts w:ascii="Calibri" w:hAnsi="Calibri"/>
          <w:sz w:val="22"/>
          <w:szCs w:val="22"/>
        </w:rPr>
      </w:pPr>
    </w:p>
    <w:p w:rsidR="00D23727" w:rsidRDefault="00D23727" w:rsidP="00D23727">
      <w:pPr>
        <w:tabs>
          <w:tab w:val="left" w:pos="750"/>
          <w:tab w:val="right" w:pos="10800"/>
        </w:tabs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23727" w:rsidRDefault="00D63E46" w:rsidP="00D23727">
      <w:pPr>
        <w:tabs>
          <w:tab w:val="left" w:pos="750"/>
          <w:tab w:val="right" w:pos="10800"/>
        </w:tabs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(Continued on Next page)</w:t>
      </w:r>
    </w:p>
    <w:p w:rsidR="00D23727" w:rsidRDefault="00D23727" w:rsidP="00D23727">
      <w:pPr>
        <w:tabs>
          <w:tab w:val="left" w:pos="750"/>
          <w:tab w:val="right" w:pos="10800"/>
        </w:tabs>
        <w:ind w:left="720" w:hanging="720"/>
        <w:rPr>
          <w:rFonts w:ascii="Calibri" w:hAnsi="Calibri"/>
          <w:sz w:val="22"/>
          <w:szCs w:val="22"/>
        </w:rPr>
      </w:pPr>
    </w:p>
    <w:p w:rsidR="00DB4EA0" w:rsidRDefault="004A01EE" w:rsidP="004A01EE">
      <w:pPr>
        <w:ind w:left="720" w:hanging="720"/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</w:p>
    <w:p w:rsidR="004A01EE" w:rsidRPr="00C850B2" w:rsidRDefault="004A01EE" w:rsidP="00DB4EA0">
      <w:pPr>
        <w:ind w:left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lastRenderedPageBreak/>
        <w:t>B.  Special Permits</w:t>
      </w:r>
      <w:r w:rsidR="004E1A12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C.  Site Plan Reviews</w:t>
      </w:r>
      <w:r w:rsidR="004E1A12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D.  Subdivisions</w:t>
      </w:r>
      <w:r w:rsidR="004E1A12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E.  Other</w:t>
      </w:r>
      <w:r w:rsidR="004E1A12" w:rsidRPr="00C850B2">
        <w:rPr>
          <w:rFonts w:ascii="Calibri" w:hAnsi="Calibri"/>
          <w:b/>
          <w:sz w:val="22"/>
          <w:szCs w:val="22"/>
        </w:rPr>
        <w:t>/</w:t>
      </w:r>
      <w:r w:rsidRPr="00C850B2">
        <w:rPr>
          <w:rFonts w:ascii="Calibri" w:hAnsi="Calibri"/>
          <w:b/>
          <w:sz w:val="22"/>
          <w:szCs w:val="22"/>
        </w:rPr>
        <w:t>Various</w:t>
      </w:r>
    </w:p>
    <w:p w:rsidR="00E571D3" w:rsidRDefault="00E571D3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1. Reconsideration of Motions Made on March 28, 2016 for the following:</w:t>
      </w:r>
    </w:p>
    <w:p w:rsidR="00E81222" w:rsidRPr="00C850B2" w:rsidRDefault="00E81222" w:rsidP="00E81222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</w:t>
      </w:r>
      <w:r w:rsidRPr="00C850B2">
        <w:rPr>
          <w:rFonts w:ascii="Calibri" w:hAnsi="Calibri"/>
          <w:sz w:val="22"/>
          <w:szCs w:val="22"/>
        </w:rPr>
        <w:t xml:space="preserve">Request of Robert Uva, </w:t>
      </w:r>
      <w:r w:rsidR="0035245F">
        <w:rPr>
          <w:rFonts w:ascii="Calibri" w:hAnsi="Calibri"/>
          <w:sz w:val="22"/>
          <w:szCs w:val="22"/>
        </w:rPr>
        <w:t>(</w:t>
      </w:r>
      <w:r w:rsidRPr="00C850B2">
        <w:rPr>
          <w:rFonts w:ascii="Calibri" w:hAnsi="Calibri"/>
          <w:sz w:val="22"/>
          <w:szCs w:val="22"/>
        </w:rPr>
        <w:t>of 299 Bear Hill Road, Killingly, CT</w:t>
      </w:r>
      <w:r w:rsidR="0035245F">
        <w:rPr>
          <w:rFonts w:ascii="Calibri" w:hAnsi="Calibri"/>
          <w:sz w:val="22"/>
          <w:szCs w:val="22"/>
        </w:rPr>
        <w:t>)</w:t>
      </w:r>
      <w:r w:rsidRPr="00C850B2">
        <w:rPr>
          <w:rFonts w:ascii="Calibri" w:hAnsi="Calibri"/>
          <w:sz w:val="22"/>
          <w:szCs w:val="22"/>
        </w:rPr>
        <w:t xml:space="preserve"> – requesting partial return of bond on work completed on the common driveway of lots 2, 3 and 4 on Cindy Way, Killingly, CT – review/discussion/action</w:t>
      </w:r>
    </w:p>
    <w:p w:rsidR="00E81222" w:rsidRDefault="00E81222" w:rsidP="00E81222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r w:rsidR="00C67A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Pr="00C850B2">
        <w:rPr>
          <w:rFonts w:ascii="Calibri" w:hAnsi="Calibri"/>
          <w:sz w:val="22"/>
          <w:szCs w:val="22"/>
        </w:rPr>
        <w:t xml:space="preserve">equest </w:t>
      </w:r>
      <w:r w:rsidR="00C4698E">
        <w:rPr>
          <w:rFonts w:ascii="Calibri" w:hAnsi="Calibri"/>
          <w:sz w:val="22"/>
          <w:szCs w:val="22"/>
        </w:rPr>
        <w:t>of</w:t>
      </w:r>
      <w:r w:rsidR="0035245F">
        <w:rPr>
          <w:rFonts w:ascii="Calibri" w:hAnsi="Calibri"/>
          <w:sz w:val="22"/>
          <w:szCs w:val="22"/>
        </w:rPr>
        <w:t xml:space="preserve"> </w:t>
      </w:r>
      <w:r w:rsidRPr="00C850B2">
        <w:rPr>
          <w:rFonts w:ascii="Calibri" w:hAnsi="Calibri"/>
          <w:sz w:val="22"/>
          <w:szCs w:val="22"/>
        </w:rPr>
        <w:t xml:space="preserve">333 Valley Road, LLC, </w:t>
      </w:r>
      <w:r w:rsidR="0035245F">
        <w:rPr>
          <w:rFonts w:ascii="Calibri" w:hAnsi="Calibri"/>
          <w:sz w:val="22"/>
          <w:szCs w:val="22"/>
        </w:rPr>
        <w:t>(</w:t>
      </w:r>
      <w:r w:rsidRPr="00C850B2">
        <w:rPr>
          <w:rFonts w:ascii="Calibri" w:hAnsi="Calibri"/>
          <w:sz w:val="22"/>
          <w:szCs w:val="22"/>
        </w:rPr>
        <w:t>of 5048 Hartford Pike Extension, Killingly, CT 06241</w:t>
      </w:r>
      <w:r w:rsidR="0035245F">
        <w:rPr>
          <w:rFonts w:ascii="Calibri" w:hAnsi="Calibri"/>
          <w:sz w:val="22"/>
          <w:szCs w:val="22"/>
        </w:rPr>
        <w:t xml:space="preserve">) </w:t>
      </w:r>
      <w:r w:rsidRPr="00C850B2">
        <w:rPr>
          <w:rFonts w:ascii="Calibri" w:hAnsi="Calibri"/>
          <w:sz w:val="22"/>
          <w:szCs w:val="22"/>
        </w:rPr>
        <w:t xml:space="preserve">– </w:t>
      </w:r>
      <w:r w:rsidR="0035245F">
        <w:rPr>
          <w:rFonts w:ascii="Calibri" w:hAnsi="Calibri"/>
          <w:sz w:val="22"/>
          <w:szCs w:val="22"/>
        </w:rPr>
        <w:t xml:space="preserve">to extend the time to complete work on </w:t>
      </w:r>
      <w:r w:rsidRPr="00C850B2">
        <w:rPr>
          <w:rFonts w:ascii="Calibri" w:hAnsi="Calibri"/>
          <w:sz w:val="22"/>
          <w:szCs w:val="22"/>
        </w:rPr>
        <w:t>subdivision #07-427 for 55 lots, on property located at 333 Valley Road (now known as 317 Valley Road according to Tax Assessor records) known as Eastwood Hills</w:t>
      </w:r>
      <w:r w:rsidR="0035245F">
        <w:rPr>
          <w:rFonts w:ascii="Calibri" w:hAnsi="Calibri"/>
          <w:sz w:val="22"/>
          <w:szCs w:val="22"/>
        </w:rPr>
        <w:t>; original approval on May 21, 2007, request extension of time to complete project to May 21, 202</w:t>
      </w:r>
      <w:r w:rsidR="00C67A18">
        <w:rPr>
          <w:rFonts w:ascii="Calibri" w:hAnsi="Calibri"/>
          <w:sz w:val="22"/>
          <w:szCs w:val="22"/>
        </w:rPr>
        <w:t>0</w:t>
      </w:r>
      <w:r w:rsidR="0035245F">
        <w:rPr>
          <w:rFonts w:ascii="Calibri" w:hAnsi="Calibri"/>
          <w:sz w:val="22"/>
          <w:szCs w:val="22"/>
        </w:rPr>
        <w:t xml:space="preserve"> </w:t>
      </w:r>
      <w:r w:rsidRPr="00C850B2">
        <w:rPr>
          <w:rFonts w:ascii="Calibri" w:hAnsi="Calibri"/>
          <w:sz w:val="22"/>
          <w:szCs w:val="22"/>
        </w:rPr>
        <w:t>– review/discussion/action</w:t>
      </w:r>
    </w:p>
    <w:p w:rsidR="004E1A12" w:rsidRDefault="004E1A12" w:rsidP="00EA7EE0">
      <w:pPr>
        <w:ind w:left="720"/>
        <w:rPr>
          <w:rFonts w:ascii="Calibri" w:hAnsi="Calibri"/>
          <w:sz w:val="22"/>
          <w:szCs w:val="22"/>
        </w:rPr>
      </w:pPr>
      <w:r w:rsidRPr="00EE4529">
        <w:rPr>
          <w:rFonts w:ascii="Calibri" w:hAnsi="Calibri"/>
          <w:sz w:val="22"/>
          <w:szCs w:val="22"/>
        </w:rPr>
        <w:t xml:space="preserve">2.  Killingly Zoning Regulations Section 560 “Earth Filling and Excavation” </w:t>
      </w:r>
      <w:r w:rsidR="0096512B" w:rsidRPr="00EE4529">
        <w:rPr>
          <w:rFonts w:ascii="Calibri" w:hAnsi="Calibri"/>
          <w:sz w:val="22"/>
          <w:szCs w:val="22"/>
        </w:rPr>
        <w:t>–</w:t>
      </w:r>
      <w:r w:rsidR="00EA7EE0" w:rsidRPr="00DB4EA0">
        <w:rPr>
          <w:rFonts w:ascii="Calibri" w:hAnsi="Calibri"/>
          <w:sz w:val="22"/>
          <w:szCs w:val="22"/>
          <w:u w:val="single"/>
        </w:rPr>
        <w:t>Schedule Workshop Meeting</w:t>
      </w:r>
      <w:r w:rsidR="00EA7EE0" w:rsidRPr="00EE4529">
        <w:rPr>
          <w:rFonts w:ascii="Calibri" w:hAnsi="Calibri"/>
          <w:sz w:val="22"/>
          <w:szCs w:val="22"/>
        </w:rPr>
        <w:t xml:space="preserve"> (prior meeting canceled due to lack of quorum</w:t>
      </w:r>
      <w:r w:rsidR="00EE4529" w:rsidRPr="00EE4529">
        <w:rPr>
          <w:rFonts w:ascii="Calibri" w:hAnsi="Calibri"/>
          <w:sz w:val="22"/>
          <w:szCs w:val="22"/>
        </w:rPr>
        <w:t>)</w:t>
      </w:r>
      <w:r w:rsidR="0096512B" w:rsidRPr="00EE4529">
        <w:rPr>
          <w:rFonts w:ascii="Calibri" w:hAnsi="Calibri"/>
          <w:sz w:val="22"/>
          <w:szCs w:val="22"/>
        </w:rPr>
        <w:t xml:space="preserve"> – review/discussion/action</w:t>
      </w:r>
    </w:p>
    <w:p w:rsidR="00DB4EA0" w:rsidRDefault="00DB4EA0" w:rsidP="00DB4EA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 An accessory structure on a parcel of real estate when a primary structure has not been built – </w:t>
      </w:r>
      <w:r w:rsidRPr="00DB4EA0">
        <w:rPr>
          <w:rFonts w:ascii="Calibri" w:hAnsi="Calibri"/>
          <w:sz w:val="22"/>
          <w:szCs w:val="22"/>
          <w:u w:val="single"/>
        </w:rPr>
        <w:t>director’</w:t>
      </w:r>
      <w:r>
        <w:rPr>
          <w:rFonts w:ascii="Calibri" w:hAnsi="Calibri"/>
          <w:sz w:val="22"/>
          <w:szCs w:val="22"/>
          <w:u w:val="single"/>
        </w:rPr>
        <w:t xml:space="preserve">s </w:t>
      </w:r>
      <w:r w:rsidRPr="00DB4EA0">
        <w:rPr>
          <w:rFonts w:ascii="Calibri" w:hAnsi="Calibri"/>
          <w:sz w:val="22"/>
          <w:szCs w:val="22"/>
          <w:u w:val="single"/>
        </w:rPr>
        <w:t>update</w:t>
      </w:r>
      <w:r>
        <w:rPr>
          <w:rFonts w:ascii="Calibri" w:hAnsi="Calibri"/>
          <w:sz w:val="22"/>
          <w:szCs w:val="22"/>
        </w:rPr>
        <w:t xml:space="preserve"> - no further workshops scheduled – review/discussion/action</w:t>
      </w:r>
    </w:p>
    <w:p w:rsidR="00DB4EA0" w:rsidRDefault="00DB4EA0" w:rsidP="00DB4EA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Definition of Medical Office or Clinic for both Town and Borough Zoning Regulations – </w:t>
      </w:r>
      <w:r w:rsidRPr="00DB4EA0">
        <w:rPr>
          <w:rFonts w:ascii="Calibri" w:hAnsi="Calibri"/>
          <w:sz w:val="22"/>
          <w:szCs w:val="22"/>
          <w:u w:val="single"/>
        </w:rPr>
        <w:t>director’s update</w:t>
      </w:r>
      <w:r>
        <w:rPr>
          <w:rFonts w:ascii="Calibri" w:hAnsi="Calibri"/>
          <w:sz w:val="22"/>
          <w:szCs w:val="22"/>
        </w:rPr>
        <w:t xml:space="preserve"> – no further workshops scheduled – review/discussion/action</w:t>
      </w:r>
    </w:p>
    <w:p w:rsidR="00EE4529" w:rsidRDefault="00EE4529" w:rsidP="004A01EE">
      <w:pPr>
        <w:ind w:left="720" w:hanging="720"/>
        <w:rPr>
          <w:rFonts w:ascii="Calibri" w:hAnsi="Calibri"/>
          <w:b/>
          <w:sz w:val="22"/>
          <w:szCs w:val="22"/>
        </w:rPr>
      </w:pP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VIII.</w:t>
      </w:r>
      <w:r w:rsidRPr="00C850B2">
        <w:rPr>
          <w:rFonts w:ascii="Calibri" w:hAnsi="Calibri"/>
          <w:b/>
          <w:sz w:val="22"/>
          <w:szCs w:val="22"/>
        </w:rPr>
        <w:tab/>
        <w:t>NEW BUSINESS</w:t>
      </w:r>
    </w:p>
    <w:p w:rsidR="004A01EE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A.  Zone Change Applications</w:t>
      </w:r>
      <w:r w:rsidR="0096512B" w:rsidRPr="00C850B2">
        <w:rPr>
          <w:rFonts w:ascii="Calibri" w:hAnsi="Calibri"/>
          <w:b/>
          <w:sz w:val="22"/>
          <w:szCs w:val="22"/>
        </w:rPr>
        <w:t xml:space="preserve"> </w:t>
      </w:r>
      <w:r w:rsidR="000D11F8">
        <w:rPr>
          <w:rFonts w:ascii="Calibri" w:hAnsi="Calibri"/>
          <w:b/>
          <w:sz w:val="22"/>
          <w:szCs w:val="22"/>
        </w:rPr>
        <w:t>–</w:t>
      </w:r>
      <w:r w:rsidR="0096512B" w:rsidRPr="00C850B2">
        <w:rPr>
          <w:rFonts w:ascii="Calibri" w:hAnsi="Calibri"/>
          <w:b/>
          <w:sz w:val="22"/>
          <w:szCs w:val="22"/>
        </w:rPr>
        <w:t xml:space="preserve"> None</w:t>
      </w:r>
    </w:p>
    <w:p w:rsidR="004A01EE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B.  Special Permits</w:t>
      </w:r>
      <w:r w:rsidR="0096512B" w:rsidRPr="00C850B2">
        <w:rPr>
          <w:rFonts w:ascii="Calibri" w:hAnsi="Calibri"/>
          <w:b/>
          <w:sz w:val="22"/>
          <w:szCs w:val="22"/>
        </w:rPr>
        <w:t xml:space="preserve"> </w:t>
      </w:r>
    </w:p>
    <w:p w:rsidR="0079220E" w:rsidRDefault="000D11F8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991062">
        <w:rPr>
          <w:rFonts w:ascii="Calibri" w:hAnsi="Calibri"/>
          <w:sz w:val="22"/>
          <w:szCs w:val="22"/>
          <w:u w:val="single"/>
        </w:rPr>
        <w:t>1.  Article VII -</w:t>
      </w:r>
      <w:r w:rsidR="00991062">
        <w:rPr>
          <w:rFonts w:ascii="Calibri" w:hAnsi="Calibri"/>
          <w:sz w:val="22"/>
          <w:szCs w:val="22"/>
          <w:u w:val="single"/>
        </w:rPr>
        <w:t xml:space="preserve"> </w:t>
      </w:r>
      <w:r w:rsidRPr="00991062">
        <w:rPr>
          <w:rFonts w:ascii="Calibri" w:hAnsi="Calibri"/>
          <w:sz w:val="22"/>
          <w:szCs w:val="22"/>
          <w:u w:val="single"/>
        </w:rPr>
        <w:t>Special Permit Application #16-1128</w:t>
      </w:r>
      <w:r w:rsidR="00D004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Keystone Novelties Distributors, LLC. (of 201 Seymour Street, Lancaster, PA 17603); for a special permit for temporary tent sale of CT legal sparkler products from 06/</w:t>
      </w:r>
      <w:r w:rsidR="00A5115D">
        <w:rPr>
          <w:rFonts w:ascii="Calibri" w:hAnsi="Calibri"/>
          <w:sz w:val="22"/>
          <w:szCs w:val="22"/>
        </w:rPr>
        <w:t>23/16</w:t>
      </w:r>
      <w:r>
        <w:rPr>
          <w:rFonts w:ascii="Calibri" w:hAnsi="Calibri"/>
          <w:sz w:val="22"/>
          <w:szCs w:val="22"/>
        </w:rPr>
        <w:t xml:space="preserve"> through 07/</w:t>
      </w:r>
      <w:r w:rsidR="00A5115D">
        <w:rPr>
          <w:rFonts w:ascii="Calibri" w:hAnsi="Calibri"/>
          <w:sz w:val="22"/>
          <w:szCs w:val="22"/>
        </w:rPr>
        <w:t>05/16</w:t>
      </w:r>
      <w:r>
        <w:rPr>
          <w:rFonts w:ascii="Calibri" w:hAnsi="Calibri"/>
          <w:sz w:val="22"/>
          <w:szCs w:val="22"/>
        </w:rPr>
        <w:t xml:space="preserve">; location </w:t>
      </w:r>
      <w:r w:rsidR="00FA5AB3">
        <w:rPr>
          <w:rFonts w:ascii="Calibri" w:hAnsi="Calibri"/>
          <w:sz w:val="22"/>
          <w:szCs w:val="22"/>
        </w:rPr>
        <w:t>1050-1078 North Main Street, Killingly Plaza, Killingly, CT, GIS 130-006; General Commercial Zone; -</w:t>
      </w:r>
      <w:r w:rsidR="003A29FF">
        <w:rPr>
          <w:rFonts w:ascii="Calibri" w:hAnsi="Calibri"/>
          <w:sz w:val="22"/>
          <w:szCs w:val="22"/>
        </w:rPr>
        <w:t xml:space="preserve"> Receive application</w:t>
      </w:r>
      <w:r w:rsidR="00FA5AB3">
        <w:rPr>
          <w:rFonts w:ascii="Calibri" w:hAnsi="Calibri"/>
          <w:sz w:val="22"/>
          <w:szCs w:val="22"/>
        </w:rPr>
        <w:t xml:space="preserve"> and determine if application is complete, if complete then schedule a </w:t>
      </w:r>
      <w:r w:rsidR="00F71923">
        <w:rPr>
          <w:rFonts w:ascii="Calibri" w:hAnsi="Calibri"/>
          <w:sz w:val="22"/>
          <w:szCs w:val="22"/>
        </w:rPr>
        <w:t xml:space="preserve">public </w:t>
      </w:r>
      <w:r w:rsidR="00FA5AB3">
        <w:rPr>
          <w:rFonts w:ascii="Calibri" w:hAnsi="Calibri"/>
          <w:sz w:val="22"/>
          <w:szCs w:val="22"/>
        </w:rPr>
        <w:t>hearing for May 16, 2016. – review/discussion/action.</w:t>
      </w:r>
    </w:p>
    <w:p w:rsidR="0079220E" w:rsidRDefault="0079220E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91062">
        <w:rPr>
          <w:rFonts w:ascii="Calibri" w:hAnsi="Calibri"/>
          <w:sz w:val="22"/>
          <w:szCs w:val="22"/>
          <w:u w:val="single"/>
        </w:rPr>
        <w:t>2. Article VII – Special Permit Application #16-1132</w:t>
      </w:r>
      <w:r>
        <w:rPr>
          <w:rFonts w:ascii="Calibri" w:hAnsi="Calibri"/>
          <w:sz w:val="22"/>
          <w:szCs w:val="22"/>
        </w:rPr>
        <w:t xml:space="preserve"> of United We Stand, LLC (of 49 Orleans Avenue, Killingly); for a special permit for proposed use of a contractor’s office/showroom, and a proposed 40’ x 50’ contractors storage garage</w:t>
      </w:r>
      <w:r w:rsidR="00A5115D">
        <w:rPr>
          <w:rFonts w:ascii="Calibri" w:hAnsi="Calibri"/>
          <w:sz w:val="22"/>
          <w:szCs w:val="22"/>
        </w:rPr>
        <w:t>;</w:t>
      </w:r>
      <w:r w:rsidR="00E571D3">
        <w:rPr>
          <w:rFonts w:ascii="Calibri" w:hAnsi="Calibri"/>
          <w:sz w:val="22"/>
          <w:szCs w:val="22"/>
        </w:rPr>
        <w:t xml:space="preserve"> change of one non-conforming use to another non-conforming use under Article V</w:t>
      </w:r>
      <w:r w:rsidR="00DB4EA0">
        <w:rPr>
          <w:rFonts w:ascii="Calibri" w:hAnsi="Calibri"/>
          <w:sz w:val="22"/>
          <w:szCs w:val="22"/>
        </w:rPr>
        <w:t xml:space="preserve"> (General Provisions</w:t>
      </w:r>
      <w:r w:rsidR="00A5115D">
        <w:rPr>
          <w:rFonts w:ascii="Calibri" w:hAnsi="Calibri"/>
          <w:sz w:val="22"/>
          <w:szCs w:val="22"/>
        </w:rPr>
        <w:t>)</w:t>
      </w:r>
      <w:r w:rsidR="00E571D3">
        <w:rPr>
          <w:rFonts w:ascii="Calibri" w:hAnsi="Calibri"/>
          <w:sz w:val="22"/>
          <w:szCs w:val="22"/>
        </w:rPr>
        <w:t>, Section 520.7 Change</w:t>
      </w:r>
      <w:r w:rsidR="00A5115D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location 26 Soap Street, GIS Map Number 106, Lot 15</w:t>
      </w:r>
      <w:r w:rsidR="00E571D3">
        <w:rPr>
          <w:rFonts w:ascii="Calibri" w:hAnsi="Calibri"/>
          <w:sz w:val="22"/>
          <w:szCs w:val="22"/>
        </w:rPr>
        <w:t xml:space="preserve"> ~</w:t>
      </w:r>
      <w:r w:rsidR="00DB4EA0">
        <w:rPr>
          <w:rFonts w:ascii="Calibri" w:hAnsi="Calibri"/>
          <w:sz w:val="22"/>
          <w:szCs w:val="22"/>
        </w:rPr>
        <w:t>0.68 acres, Village Commer</w:t>
      </w:r>
      <w:r w:rsidR="00A5115D">
        <w:rPr>
          <w:rFonts w:ascii="Calibri" w:hAnsi="Calibri"/>
          <w:sz w:val="22"/>
          <w:szCs w:val="22"/>
        </w:rPr>
        <w:t>ci</w:t>
      </w:r>
      <w:r w:rsidR="00DB4EA0">
        <w:rPr>
          <w:rFonts w:ascii="Calibri" w:hAnsi="Calibri"/>
          <w:sz w:val="22"/>
          <w:szCs w:val="22"/>
        </w:rPr>
        <w:t>al Zone; - Receive application and determine if application is complete, if complete then schedule a public hearing for May 16, 2016. – review/discussion/action.</w:t>
      </w:r>
      <w:r>
        <w:rPr>
          <w:rFonts w:ascii="Calibri" w:hAnsi="Calibri"/>
          <w:sz w:val="22"/>
          <w:szCs w:val="22"/>
        </w:rPr>
        <w:t xml:space="preserve"> </w:t>
      </w:r>
    </w:p>
    <w:p w:rsidR="004A01EE" w:rsidRPr="00C850B2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C.  Site Plan Reviews</w:t>
      </w:r>
      <w:r w:rsidR="0096512B" w:rsidRPr="00C850B2">
        <w:rPr>
          <w:rFonts w:ascii="Calibri" w:hAnsi="Calibri"/>
          <w:b/>
          <w:sz w:val="22"/>
          <w:szCs w:val="22"/>
        </w:rPr>
        <w:t xml:space="preserve"> - None</w:t>
      </w:r>
    </w:p>
    <w:p w:rsidR="004A01EE" w:rsidRDefault="004A01EE" w:rsidP="004A01EE">
      <w:pPr>
        <w:ind w:left="720" w:hanging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D.  Subdivisions</w:t>
      </w:r>
      <w:r w:rsidR="0096512B" w:rsidRPr="00C850B2">
        <w:rPr>
          <w:rFonts w:ascii="Calibri" w:hAnsi="Calibri"/>
          <w:b/>
          <w:sz w:val="22"/>
          <w:szCs w:val="22"/>
        </w:rPr>
        <w:t xml:space="preserve"> </w:t>
      </w:r>
    </w:p>
    <w:p w:rsidR="00F71923" w:rsidRDefault="003A29FF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991062">
        <w:rPr>
          <w:rFonts w:ascii="Calibri" w:hAnsi="Calibri"/>
          <w:sz w:val="22"/>
          <w:szCs w:val="22"/>
          <w:u w:val="single"/>
        </w:rPr>
        <w:t xml:space="preserve">1. </w:t>
      </w:r>
      <w:r w:rsidR="00D004D8" w:rsidRPr="00991062">
        <w:rPr>
          <w:rFonts w:ascii="Calibri" w:hAnsi="Calibri"/>
          <w:sz w:val="22"/>
          <w:szCs w:val="22"/>
          <w:u w:val="single"/>
        </w:rPr>
        <w:t>Subdivision Application #16-1129</w:t>
      </w:r>
      <w:r w:rsidR="00D004D8">
        <w:rPr>
          <w:rFonts w:ascii="Calibri" w:hAnsi="Calibri"/>
          <w:sz w:val="22"/>
          <w:szCs w:val="22"/>
        </w:rPr>
        <w:t xml:space="preserve"> of Etienne L. LaBelle, for a two lot</w:t>
      </w:r>
      <w:r w:rsidR="00F71923">
        <w:rPr>
          <w:rFonts w:ascii="Calibri" w:hAnsi="Calibri"/>
          <w:sz w:val="22"/>
          <w:szCs w:val="22"/>
        </w:rPr>
        <w:t xml:space="preserve"> residential</w:t>
      </w:r>
      <w:r w:rsidR="00D004D8">
        <w:rPr>
          <w:rFonts w:ascii="Calibri" w:hAnsi="Calibri"/>
          <w:sz w:val="22"/>
          <w:szCs w:val="22"/>
        </w:rPr>
        <w:t xml:space="preserve"> subdivision, one lot with a pre-existing house, and one new lot</w:t>
      </w:r>
      <w:r w:rsidR="00F71923">
        <w:rPr>
          <w:rFonts w:ascii="Calibri" w:hAnsi="Calibri"/>
          <w:sz w:val="22"/>
          <w:szCs w:val="22"/>
        </w:rPr>
        <w:t xml:space="preserve"> for residential construction</w:t>
      </w:r>
      <w:r w:rsidR="00D004D8">
        <w:rPr>
          <w:rFonts w:ascii="Calibri" w:hAnsi="Calibri"/>
          <w:sz w:val="22"/>
          <w:szCs w:val="22"/>
        </w:rPr>
        <w:t xml:space="preserve">; </w:t>
      </w:r>
      <w:r w:rsidR="00F71923">
        <w:rPr>
          <w:rFonts w:ascii="Calibri" w:hAnsi="Calibri"/>
          <w:sz w:val="22"/>
          <w:szCs w:val="22"/>
        </w:rPr>
        <w:t>500</w:t>
      </w:r>
      <w:r w:rsidR="00D004D8">
        <w:rPr>
          <w:rFonts w:ascii="Calibri" w:hAnsi="Calibri"/>
          <w:sz w:val="22"/>
          <w:szCs w:val="22"/>
        </w:rPr>
        <w:t xml:space="preserve"> Chestnut Hill Road, Killingly, GIS Map 66, Lot 13; ~19.276 acres</w:t>
      </w:r>
      <w:r w:rsidR="00A5115D">
        <w:rPr>
          <w:rFonts w:ascii="Calibri" w:hAnsi="Calibri"/>
          <w:sz w:val="22"/>
          <w:szCs w:val="22"/>
        </w:rPr>
        <w:t xml:space="preserve"> total</w:t>
      </w:r>
      <w:r w:rsidR="00D004D8">
        <w:rPr>
          <w:rFonts w:ascii="Calibri" w:hAnsi="Calibri"/>
          <w:sz w:val="22"/>
          <w:szCs w:val="22"/>
        </w:rPr>
        <w:t xml:space="preserve">; </w:t>
      </w:r>
      <w:r w:rsidR="00F71923">
        <w:rPr>
          <w:rFonts w:ascii="Calibri" w:hAnsi="Calibri"/>
          <w:sz w:val="22"/>
          <w:szCs w:val="22"/>
        </w:rPr>
        <w:t>Rural Development Zone; - Receive application and determine if application is complete, if complete then schedule a public hearing for May 16, 2016. – review/discussion/action.</w:t>
      </w:r>
    </w:p>
    <w:p w:rsidR="003A29FF" w:rsidRDefault="00F71923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91062">
        <w:rPr>
          <w:rFonts w:ascii="Calibri" w:hAnsi="Calibri"/>
          <w:sz w:val="22"/>
          <w:szCs w:val="22"/>
          <w:u w:val="single"/>
        </w:rPr>
        <w:t>2. Subdivision Application #16-1130</w:t>
      </w:r>
      <w:r>
        <w:rPr>
          <w:rFonts w:ascii="Calibri" w:hAnsi="Calibri"/>
          <w:sz w:val="22"/>
          <w:szCs w:val="22"/>
        </w:rPr>
        <w:t xml:space="preserve"> of James V. Dandeneau, for a two lot residential subdivision, one lot with a pre-existing house, and one new lot for residential construction; 80 Chase Road, Killingly, GIS Map 13, Lot 2; ~</w:t>
      </w:r>
      <w:r w:rsidR="00072C06">
        <w:rPr>
          <w:rFonts w:ascii="Calibri" w:hAnsi="Calibri"/>
          <w:sz w:val="22"/>
          <w:szCs w:val="22"/>
        </w:rPr>
        <w:t>148 acres</w:t>
      </w:r>
      <w:r w:rsidR="00A5115D">
        <w:rPr>
          <w:rFonts w:ascii="Calibri" w:hAnsi="Calibri"/>
          <w:sz w:val="22"/>
          <w:szCs w:val="22"/>
        </w:rPr>
        <w:t xml:space="preserve"> total</w:t>
      </w:r>
      <w:r w:rsidR="00072C06">
        <w:rPr>
          <w:rFonts w:ascii="Calibri" w:hAnsi="Calibri"/>
          <w:sz w:val="22"/>
          <w:szCs w:val="22"/>
        </w:rPr>
        <w:t xml:space="preserve">; Five Mile River Overlay Zone; - Receive application and determine if application is complete, if complete then schedule a public hearing for </w:t>
      </w:r>
      <w:r w:rsidR="008906D0">
        <w:rPr>
          <w:rFonts w:ascii="Calibri" w:hAnsi="Calibri"/>
          <w:sz w:val="22"/>
          <w:szCs w:val="22"/>
        </w:rPr>
        <w:t xml:space="preserve">June 20, </w:t>
      </w:r>
      <w:r w:rsidR="00072C06">
        <w:rPr>
          <w:rFonts w:ascii="Calibri" w:hAnsi="Calibri"/>
          <w:sz w:val="22"/>
          <w:szCs w:val="22"/>
        </w:rPr>
        <w:t>2016</w:t>
      </w:r>
      <w:r w:rsidR="008906D0">
        <w:rPr>
          <w:rFonts w:ascii="Calibri" w:hAnsi="Calibri"/>
          <w:sz w:val="22"/>
          <w:szCs w:val="22"/>
        </w:rPr>
        <w:t xml:space="preserve"> (as this will require notice to NECCOG)</w:t>
      </w:r>
      <w:r w:rsidR="00A5115D">
        <w:rPr>
          <w:rFonts w:ascii="Calibri" w:hAnsi="Calibri"/>
          <w:sz w:val="22"/>
          <w:szCs w:val="22"/>
        </w:rPr>
        <w:t>;</w:t>
      </w:r>
      <w:r w:rsidR="00072C06">
        <w:rPr>
          <w:rFonts w:ascii="Calibri" w:hAnsi="Calibri"/>
          <w:sz w:val="22"/>
          <w:szCs w:val="22"/>
        </w:rPr>
        <w:t xml:space="preserve"> – review/discussion/action.  </w:t>
      </w:r>
      <w:r>
        <w:rPr>
          <w:rFonts w:ascii="Calibri" w:hAnsi="Calibri"/>
          <w:sz w:val="22"/>
          <w:szCs w:val="22"/>
        </w:rPr>
        <w:t xml:space="preserve"> </w:t>
      </w:r>
    </w:p>
    <w:p w:rsidR="00072C06" w:rsidRDefault="00072C06" w:rsidP="004A01E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91062">
        <w:rPr>
          <w:rFonts w:ascii="Calibri" w:hAnsi="Calibri"/>
          <w:sz w:val="22"/>
          <w:szCs w:val="22"/>
          <w:u w:val="single"/>
        </w:rPr>
        <w:t>3. Subdivision Application #16-1131</w:t>
      </w:r>
      <w:r w:rsidR="008906D0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of George M. Lenth</w:t>
      </w:r>
      <w:r w:rsidR="00A5115D">
        <w:rPr>
          <w:rFonts w:ascii="Calibri" w:hAnsi="Calibri"/>
          <w:sz w:val="22"/>
          <w:szCs w:val="22"/>
        </w:rPr>
        <w:t xml:space="preserve"> &amp; Starlet M. Lenth Revocable Trust</w:t>
      </w:r>
      <w:r>
        <w:rPr>
          <w:rFonts w:ascii="Calibri" w:hAnsi="Calibri"/>
          <w:sz w:val="22"/>
          <w:szCs w:val="22"/>
        </w:rPr>
        <w:t xml:space="preserve">, to </w:t>
      </w:r>
      <w:r w:rsidR="008906D0">
        <w:rPr>
          <w:rFonts w:ascii="Calibri" w:hAnsi="Calibri"/>
          <w:sz w:val="22"/>
          <w:szCs w:val="22"/>
        </w:rPr>
        <w:t xml:space="preserve">dissolve </w:t>
      </w:r>
      <w:r w:rsidR="00A5115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prior approved</w:t>
      </w:r>
      <w:r w:rsidR="008906D0">
        <w:rPr>
          <w:rFonts w:ascii="Calibri" w:hAnsi="Calibri"/>
          <w:sz w:val="22"/>
          <w:szCs w:val="22"/>
        </w:rPr>
        <w:t xml:space="preserve"> nine (9) lot</w:t>
      </w:r>
      <w:r>
        <w:rPr>
          <w:rFonts w:ascii="Calibri" w:hAnsi="Calibri"/>
          <w:sz w:val="22"/>
          <w:szCs w:val="22"/>
        </w:rPr>
        <w:t xml:space="preserve"> subdivision (“Ledge Road Estates” prepared for Smith Pond Realty, LLC</w:t>
      </w:r>
      <w:r w:rsidR="00A5115D">
        <w:rPr>
          <w:rFonts w:ascii="Calibri" w:hAnsi="Calibri"/>
          <w:sz w:val="22"/>
          <w:szCs w:val="22"/>
        </w:rPr>
        <w:t xml:space="preserve"> #08-439)</w:t>
      </w:r>
      <w:r>
        <w:rPr>
          <w:rFonts w:ascii="Calibri" w:hAnsi="Calibri"/>
          <w:sz w:val="22"/>
          <w:szCs w:val="22"/>
        </w:rPr>
        <w:t xml:space="preserve"> </w:t>
      </w:r>
      <w:r w:rsidR="00A5115D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to return it to two (2) lots, one lot to contain an existing residence and ~ 1.878 acres (</w:t>
      </w:r>
      <w:r w:rsidR="008906D0">
        <w:rPr>
          <w:rFonts w:ascii="Calibri" w:hAnsi="Calibri"/>
          <w:sz w:val="22"/>
          <w:szCs w:val="22"/>
        </w:rPr>
        <w:t>n/k/a</w:t>
      </w:r>
      <w:r>
        <w:rPr>
          <w:rFonts w:ascii="Calibri" w:hAnsi="Calibri"/>
          <w:sz w:val="22"/>
          <w:szCs w:val="22"/>
        </w:rPr>
        <w:t xml:space="preserve"> as recorded Lot 9); and one lot to contain an existing residence and ~42.21 acres (</w:t>
      </w:r>
      <w:r w:rsidR="008906D0">
        <w:rPr>
          <w:rFonts w:ascii="Calibri" w:hAnsi="Calibri"/>
          <w:sz w:val="22"/>
          <w:szCs w:val="22"/>
        </w:rPr>
        <w:t>n/k/a</w:t>
      </w:r>
      <w:r>
        <w:rPr>
          <w:rFonts w:ascii="Calibri" w:hAnsi="Calibri"/>
          <w:sz w:val="22"/>
          <w:szCs w:val="22"/>
        </w:rPr>
        <w:t xml:space="preserve"> as recorded lots 1, 2, 3, 4, 5, 6, 7, and 8) for a total of ~44.088 acres; Rural Development Zone; - Receive application and determine if application is complete, </w:t>
      </w:r>
      <w:r w:rsidR="008906D0">
        <w:rPr>
          <w:rFonts w:ascii="Calibri" w:hAnsi="Calibri"/>
          <w:sz w:val="22"/>
          <w:szCs w:val="22"/>
        </w:rPr>
        <w:lastRenderedPageBreak/>
        <w:t xml:space="preserve">if complete then schedule </w:t>
      </w:r>
      <w:r>
        <w:rPr>
          <w:rFonts w:ascii="Calibri" w:hAnsi="Calibri"/>
          <w:sz w:val="22"/>
          <w:szCs w:val="22"/>
        </w:rPr>
        <w:t>a public hearing</w:t>
      </w:r>
      <w:r w:rsidR="008906D0">
        <w:rPr>
          <w:rFonts w:ascii="Calibri" w:hAnsi="Calibri"/>
          <w:sz w:val="22"/>
          <w:szCs w:val="22"/>
        </w:rPr>
        <w:t xml:space="preserve"> </w:t>
      </w:r>
      <w:r w:rsidR="0079220E">
        <w:rPr>
          <w:rFonts w:ascii="Calibri" w:hAnsi="Calibri"/>
          <w:sz w:val="22"/>
          <w:szCs w:val="22"/>
        </w:rPr>
        <w:t xml:space="preserve">for </w:t>
      </w:r>
      <w:r w:rsidR="00A5115D">
        <w:rPr>
          <w:rFonts w:ascii="Calibri" w:hAnsi="Calibri"/>
          <w:sz w:val="22"/>
          <w:szCs w:val="22"/>
        </w:rPr>
        <w:t>June 20, 2016 (as this will require notice to NECCOG);</w:t>
      </w:r>
      <w:r w:rsidR="0079220E">
        <w:rPr>
          <w:rFonts w:ascii="Calibri" w:hAnsi="Calibri"/>
          <w:sz w:val="22"/>
          <w:szCs w:val="22"/>
        </w:rPr>
        <w:t xml:space="preserve"> – review/discussion/action</w:t>
      </w:r>
      <w:r>
        <w:rPr>
          <w:rFonts w:ascii="Calibri" w:hAnsi="Calibri"/>
          <w:sz w:val="22"/>
          <w:szCs w:val="22"/>
        </w:rPr>
        <w:t xml:space="preserve">  </w:t>
      </w:r>
    </w:p>
    <w:p w:rsidR="00991062" w:rsidRDefault="004A01EE" w:rsidP="004A01EE">
      <w:pPr>
        <w:ind w:left="720" w:hanging="720"/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</w:p>
    <w:p w:rsidR="0065162A" w:rsidRPr="00C850B2" w:rsidRDefault="0065162A" w:rsidP="004A01EE">
      <w:pPr>
        <w:rPr>
          <w:rFonts w:ascii="Calibri" w:hAnsi="Calibri"/>
          <w:sz w:val="18"/>
          <w:szCs w:val="18"/>
        </w:rPr>
      </w:pPr>
      <w:r w:rsidRPr="00C850B2">
        <w:rPr>
          <w:rFonts w:ascii="Calibri" w:hAnsi="Calibri"/>
          <w:sz w:val="18"/>
          <w:szCs w:val="18"/>
        </w:rPr>
        <w:t xml:space="preserve">Applications submitted prior to 5:00 PM on Monday, </w:t>
      </w:r>
      <w:r w:rsidR="00E571D3">
        <w:rPr>
          <w:rFonts w:ascii="Calibri" w:hAnsi="Calibri"/>
          <w:sz w:val="18"/>
          <w:szCs w:val="18"/>
        </w:rPr>
        <w:t>April 11, 2016</w:t>
      </w:r>
      <w:r w:rsidRPr="00C850B2">
        <w:rPr>
          <w:rFonts w:ascii="Calibri" w:hAnsi="Calibri"/>
          <w:sz w:val="18"/>
          <w:szCs w:val="18"/>
        </w:rPr>
        <w:t xml:space="preserve">, will be on the agenda as New Business, with a “date of receipt” of Monday, </w:t>
      </w:r>
      <w:r w:rsidR="00E571D3">
        <w:rPr>
          <w:rFonts w:ascii="Calibri" w:hAnsi="Calibri"/>
          <w:sz w:val="18"/>
          <w:szCs w:val="18"/>
        </w:rPr>
        <w:t>April 18, 2016.</w:t>
      </w:r>
    </w:p>
    <w:p w:rsidR="0065162A" w:rsidRPr="00C850B2" w:rsidRDefault="0065162A" w:rsidP="004A01EE">
      <w:pPr>
        <w:rPr>
          <w:rFonts w:ascii="Calibri" w:hAnsi="Calibri"/>
          <w:sz w:val="18"/>
          <w:szCs w:val="18"/>
        </w:rPr>
      </w:pPr>
    </w:p>
    <w:p w:rsidR="004A01EE" w:rsidRPr="00C850B2" w:rsidRDefault="0065162A" w:rsidP="004A01EE">
      <w:pPr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18"/>
          <w:szCs w:val="18"/>
        </w:rPr>
        <w:t xml:space="preserve">Applications submitted by noon on Friday, </w:t>
      </w:r>
      <w:r w:rsidR="00E571D3">
        <w:rPr>
          <w:rFonts w:ascii="Calibri" w:hAnsi="Calibri"/>
          <w:sz w:val="18"/>
          <w:szCs w:val="18"/>
        </w:rPr>
        <w:t xml:space="preserve">April 15, 2016 </w:t>
      </w:r>
      <w:r w:rsidRPr="00C850B2">
        <w:rPr>
          <w:rFonts w:ascii="Calibri" w:hAnsi="Calibri"/>
          <w:sz w:val="18"/>
          <w:szCs w:val="18"/>
        </w:rPr>
        <w:t xml:space="preserve">will be received by the Commission (“date of receipt”) on Monday, </w:t>
      </w:r>
      <w:r w:rsidR="00E571D3">
        <w:rPr>
          <w:rFonts w:ascii="Calibri" w:hAnsi="Calibri"/>
          <w:sz w:val="18"/>
          <w:szCs w:val="18"/>
        </w:rPr>
        <w:t>April 18, 2016</w:t>
      </w:r>
      <w:r w:rsidRPr="00C850B2">
        <w:rPr>
          <w:rFonts w:ascii="Calibri" w:hAnsi="Calibri"/>
          <w:sz w:val="18"/>
          <w:szCs w:val="18"/>
        </w:rPr>
        <w:t xml:space="preserve">.  However, these applications may not be scheduled for action in </w:t>
      </w:r>
      <w:r w:rsidR="00E571D3">
        <w:rPr>
          <w:rFonts w:ascii="Calibri" w:hAnsi="Calibri"/>
          <w:sz w:val="18"/>
          <w:szCs w:val="18"/>
        </w:rPr>
        <w:t>May</w:t>
      </w:r>
      <w:r w:rsidRPr="00C850B2">
        <w:rPr>
          <w:rFonts w:ascii="Calibri" w:hAnsi="Calibri"/>
          <w:sz w:val="18"/>
          <w:szCs w:val="18"/>
        </w:rPr>
        <w:t xml:space="preserve"> </w:t>
      </w:r>
      <w:r w:rsidR="00285D82" w:rsidRPr="00C850B2">
        <w:rPr>
          <w:rFonts w:ascii="Calibri" w:hAnsi="Calibri"/>
          <w:sz w:val="18"/>
          <w:szCs w:val="18"/>
        </w:rPr>
        <w:t>as they were submitted after the Commission’s deadline.  This is in accordance with Commission policy to administer Public Act 03-177, effective October 1, 2003.</w:t>
      </w:r>
    </w:p>
    <w:p w:rsidR="008906D0" w:rsidRDefault="008906D0" w:rsidP="00991062">
      <w:pPr>
        <w:ind w:left="720"/>
        <w:rPr>
          <w:rFonts w:ascii="Calibri" w:hAnsi="Calibri"/>
          <w:b/>
          <w:sz w:val="22"/>
          <w:szCs w:val="22"/>
        </w:rPr>
      </w:pPr>
    </w:p>
    <w:p w:rsidR="00991062" w:rsidRPr="00C850B2" w:rsidRDefault="00991062" w:rsidP="00991062">
      <w:pPr>
        <w:ind w:left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E.  Other/Various – review/discussion/action</w:t>
      </w:r>
    </w:p>
    <w:p w:rsidR="00991062" w:rsidRDefault="00991062" w:rsidP="0099106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 w:rsidRPr="00087364">
        <w:rPr>
          <w:rFonts w:ascii="Calibri" w:hAnsi="Calibri"/>
          <w:sz w:val="22"/>
          <w:szCs w:val="22"/>
          <w:u w:val="single"/>
        </w:rPr>
        <w:t>1. Zone (Text) Change Application #16-1133</w:t>
      </w:r>
      <w:r>
        <w:rPr>
          <w:rFonts w:ascii="Calibri" w:hAnsi="Calibri"/>
          <w:sz w:val="22"/>
          <w:szCs w:val="22"/>
        </w:rPr>
        <w:t xml:space="preserve"> – of Dana K. Warren, AIA, (18 maple Ave #119, Barrington, RI);</w:t>
      </w:r>
    </w:p>
    <w:p w:rsidR="00BC7C8E" w:rsidRDefault="00991062" w:rsidP="0099106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Zone text change to add </w:t>
      </w:r>
      <w:r w:rsidR="008906D0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Dog and Cat Kennels and Veterinary Hospitals</w:t>
      </w:r>
      <w:r w:rsidR="008906D0">
        <w:rPr>
          <w:rFonts w:ascii="Calibri" w:hAnsi="Calibri"/>
          <w:sz w:val="22"/>
          <w:szCs w:val="22"/>
        </w:rPr>
        <w:t xml:space="preserve">” as a special use permit in </w:t>
      </w:r>
      <w:r>
        <w:rPr>
          <w:rFonts w:ascii="Calibri" w:hAnsi="Calibri"/>
          <w:sz w:val="22"/>
          <w:szCs w:val="22"/>
        </w:rPr>
        <w:t>the General Commercial Zone</w:t>
      </w:r>
      <w:r w:rsidR="00E849EC">
        <w:rPr>
          <w:rFonts w:ascii="Calibri" w:hAnsi="Calibri"/>
          <w:sz w:val="22"/>
          <w:szCs w:val="22"/>
        </w:rPr>
        <w:t>; - Receive application</w:t>
      </w:r>
      <w:r w:rsidR="008906D0">
        <w:rPr>
          <w:rFonts w:ascii="Calibri" w:hAnsi="Calibri"/>
          <w:sz w:val="22"/>
          <w:szCs w:val="22"/>
        </w:rPr>
        <w:t xml:space="preserve"> and determine if application is complete, if complete, then schedule a public hearing for June 20, 2016 (as this will </w:t>
      </w:r>
      <w:r w:rsidR="00A5115D">
        <w:rPr>
          <w:rFonts w:ascii="Calibri" w:hAnsi="Calibri"/>
          <w:sz w:val="22"/>
          <w:szCs w:val="22"/>
        </w:rPr>
        <w:t>require</w:t>
      </w:r>
      <w:r w:rsidR="008906D0">
        <w:rPr>
          <w:rFonts w:ascii="Calibri" w:hAnsi="Calibri"/>
          <w:sz w:val="22"/>
          <w:szCs w:val="22"/>
        </w:rPr>
        <w:t xml:space="preserve"> notice to NECCOG)</w:t>
      </w:r>
      <w:r w:rsidR="00C4698E">
        <w:rPr>
          <w:rFonts w:ascii="Calibri" w:hAnsi="Calibri"/>
          <w:sz w:val="22"/>
          <w:szCs w:val="22"/>
        </w:rPr>
        <w:t xml:space="preserve"> – review/discussion/action</w:t>
      </w:r>
    </w:p>
    <w:p w:rsidR="00991062" w:rsidRPr="00BC7C8E" w:rsidRDefault="00BC7C8E" w:rsidP="0099106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7C8E">
        <w:rPr>
          <w:rFonts w:ascii="Calibri" w:hAnsi="Calibri"/>
          <w:sz w:val="22"/>
          <w:szCs w:val="22"/>
          <w:u w:val="single"/>
        </w:rPr>
        <w:t xml:space="preserve">2. Discussion of Siting Council </w:t>
      </w:r>
      <w:r>
        <w:rPr>
          <w:rFonts w:ascii="Calibri" w:hAnsi="Calibri"/>
          <w:sz w:val="22"/>
          <w:szCs w:val="22"/>
          <w:u w:val="single"/>
        </w:rPr>
        <w:t>Procedures</w:t>
      </w:r>
      <w:r>
        <w:rPr>
          <w:rFonts w:ascii="Calibri" w:hAnsi="Calibri"/>
          <w:sz w:val="22"/>
          <w:szCs w:val="22"/>
        </w:rPr>
        <w:t xml:space="preserve"> – handout for board members – review/discussion/action</w:t>
      </w:r>
    </w:p>
    <w:p w:rsidR="00285D82" w:rsidRDefault="00BC7C8E" w:rsidP="004A01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(NOTE:  NO application(s) have been received at this time.)</w:t>
      </w:r>
    </w:p>
    <w:p w:rsidR="00BC7C8E" w:rsidRPr="00C850B2" w:rsidRDefault="00BC7C8E" w:rsidP="004A01EE">
      <w:pPr>
        <w:rPr>
          <w:rFonts w:ascii="Calibri" w:hAnsi="Calibri"/>
          <w:sz w:val="22"/>
          <w:szCs w:val="22"/>
        </w:rPr>
      </w:pP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 xml:space="preserve">IX. </w:t>
      </w:r>
      <w:r w:rsidRPr="00C850B2">
        <w:rPr>
          <w:rFonts w:ascii="Calibri" w:hAnsi="Calibri"/>
          <w:b/>
          <w:sz w:val="22"/>
          <w:szCs w:val="22"/>
        </w:rPr>
        <w:tab/>
        <w:t>ADOPTION OF MINUTES</w:t>
      </w:r>
    </w:p>
    <w:p w:rsidR="0096512B" w:rsidRPr="00C850B2" w:rsidRDefault="0096512B" w:rsidP="004A01EE">
      <w:pPr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  <w:t xml:space="preserve">Regular Meeting of </w:t>
      </w:r>
      <w:r w:rsidR="00E571D3">
        <w:rPr>
          <w:rFonts w:ascii="Calibri" w:hAnsi="Calibri"/>
          <w:sz w:val="22"/>
          <w:szCs w:val="22"/>
        </w:rPr>
        <w:t>March 21, 2016</w:t>
      </w:r>
      <w:r w:rsidR="00C4698E">
        <w:rPr>
          <w:rFonts w:ascii="Calibri" w:hAnsi="Calibri"/>
          <w:sz w:val="22"/>
          <w:szCs w:val="22"/>
        </w:rPr>
        <w:t xml:space="preserve"> – review/discussion/action</w:t>
      </w:r>
    </w:p>
    <w:p w:rsidR="0096512B" w:rsidRPr="00C850B2" w:rsidRDefault="0096512B" w:rsidP="004A01EE">
      <w:pPr>
        <w:rPr>
          <w:rFonts w:ascii="Calibri" w:hAnsi="Calibri"/>
          <w:sz w:val="22"/>
          <w:szCs w:val="22"/>
        </w:rPr>
      </w:pP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 xml:space="preserve">X. </w:t>
      </w:r>
      <w:r w:rsidRPr="00C850B2">
        <w:rPr>
          <w:rFonts w:ascii="Calibri" w:hAnsi="Calibri"/>
          <w:b/>
          <w:sz w:val="22"/>
          <w:szCs w:val="22"/>
        </w:rPr>
        <w:tab/>
        <w:t>CORRESPONDENCE</w:t>
      </w:r>
    </w:p>
    <w:p w:rsidR="00285D82" w:rsidRPr="00C850B2" w:rsidRDefault="0096512B" w:rsidP="004A01EE">
      <w:pPr>
        <w:rPr>
          <w:rFonts w:ascii="Calibri" w:hAnsi="Calibri"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  <w:t>See enclosed – various articles, etc.</w:t>
      </w:r>
      <w:r w:rsidR="00413A09" w:rsidRPr="00C850B2">
        <w:rPr>
          <w:rFonts w:ascii="Calibri" w:hAnsi="Calibri"/>
          <w:sz w:val="22"/>
          <w:szCs w:val="22"/>
        </w:rPr>
        <w:t xml:space="preserve"> at end of packet</w:t>
      </w:r>
    </w:p>
    <w:p w:rsidR="0096512B" w:rsidRPr="00C850B2" w:rsidRDefault="0096512B" w:rsidP="004A01EE">
      <w:pPr>
        <w:rPr>
          <w:rFonts w:ascii="Calibri" w:hAnsi="Calibri"/>
          <w:sz w:val="22"/>
          <w:szCs w:val="22"/>
        </w:rPr>
      </w:pP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XI.</w:t>
      </w:r>
      <w:r w:rsidRPr="00C850B2">
        <w:rPr>
          <w:rFonts w:ascii="Calibri" w:hAnsi="Calibri"/>
          <w:b/>
          <w:sz w:val="22"/>
          <w:szCs w:val="22"/>
        </w:rPr>
        <w:tab/>
        <w:t>OTHER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A.  CGS 8-24 Referrals</w:t>
      </w:r>
    </w:p>
    <w:p w:rsidR="0096512B" w:rsidRDefault="00E571D3" w:rsidP="00C4698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 Review of Town of Killingly Capital Improvement Program and Budget for Fiscal Years 2017 – 2021</w:t>
      </w:r>
      <w:r w:rsidR="00C4698E">
        <w:rPr>
          <w:rFonts w:ascii="Calibri" w:hAnsi="Calibri"/>
          <w:sz w:val="22"/>
          <w:szCs w:val="22"/>
        </w:rPr>
        <w:t xml:space="preserve">; - review/discussion/action. </w:t>
      </w:r>
    </w:p>
    <w:p w:rsidR="00285D82" w:rsidRPr="00C850B2" w:rsidRDefault="00C4698E" w:rsidP="004A01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5D82" w:rsidRPr="00C850B2">
        <w:rPr>
          <w:rFonts w:ascii="Calibri" w:hAnsi="Calibri"/>
          <w:b/>
          <w:sz w:val="22"/>
          <w:szCs w:val="22"/>
        </w:rPr>
        <w:t>B.  Zoning Enforcement Officer’s Report</w:t>
      </w:r>
      <w:r w:rsidR="00DD06B1" w:rsidRPr="00C850B2">
        <w:rPr>
          <w:rFonts w:ascii="Calibri" w:hAnsi="Calibri"/>
          <w:b/>
          <w:sz w:val="22"/>
          <w:szCs w:val="22"/>
        </w:rPr>
        <w:t xml:space="preserve"> - Enclosed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C.  Inland Wetlands and Watercourses Agent’s Report</w:t>
      </w:r>
      <w:r w:rsidR="00DD06B1" w:rsidRPr="00C850B2">
        <w:rPr>
          <w:rFonts w:ascii="Calibri" w:hAnsi="Calibri"/>
          <w:b/>
          <w:sz w:val="22"/>
          <w:szCs w:val="22"/>
        </w:rPr>
        <w:t xml:space="preserve"> - Enclosed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D.  Building Office Report</w:t>
      </w:r>
      <w:r w:rsidR="00DD06B1" w:rsidRPr="00C850B2">
        <w:rPr>
          <w:rFonts w:ascii="Calibri" w:hAnsi="Calibri"/>
          <w:b/>
          <w:sz w:val="22"/>
          <w:szCs w:val="22"/>
        </w:rPr>
        <w:t xml:space="preserve"> - Enclosed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>E.  Bond Releases / Reductions / Calls</w:t>
      </w:r>
    </w:p>
    <w:p w:rsidR="00285D8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 xml:space="preserve">F.  Project Completion / Mylar Filing Extension </w:t>
      </w:r>
      <w:r w:rsidR="00002287">
        <w:rPr>
          <w:rFonts w:ascii="Calibri" w:hAnsi="Calibri"/>
          <w:b/>
          <w:sz w:val="22"/>
          <w:szCs w:val="22"/>
        </w:rPr>
        <w:t>/ Site Plan Extension Requests</w:t>
      </w:r>
    </w:p>
    <w:p w:rsidR="00E81222" w:rsidRDefault="00E81222" w:rsidP="004A01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1. </w:t>
      </w:r>
      <w:r w:rsidRPr="000617D5">
        <w:rPr>
          <w:rFonts w:ascii="Calibri" w:hAnsi="Calibri"/>
          <w:sz w:val="22"/>
          <w:szCs w:val="22"/>
          <w:u w:val="single"/>
        </w:rPr>
        <w:t>Request for 90 day Extension of Mylar Filing</w:t>
      </w:r>
      <w:r>
        <w:rPr>
          <w:rFonts w:ascii="Calibri" w:hAnsi="Calibri"/>
          <w:sz w:val="22"/>
          <w:szCs w:val="22"/>
        </w:rPr>
        <w:t xml:space="preserve"> – Applicant John Burke, through his representative is requesting a</w:t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0617D5" w:rsidRDefault="00E81222" w:rsidP="000617D5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90 day extension to file the mylars for subdivision application #15-1123 for a two lot subdivision on 3 Lawton lane, GIS Map 87, Lot 30; Alexander’s Lake Zone Overlay District; original deadline was May 6, 2016 new deadline </w:t>
      </w:r>
      <w:r w:rsidR="00EE4529">
        <w:rPr>
          <w:rFonts w:ascii="Calibri" w:hAnsi="Calibri"/>
          <w:sz w:val="22"/>
          <w:szCs w:val="22"/>
        </w:rPr>
        <w:t xml:space="preserve">requested is </w:t>
      </w:r>
      <w:r>
        <w:rPr>
          <w:rFonts w:ascii="Calibri" w:hAnsi="Calibri"/>
          <w:sz w:val="22"/>
          <w:szCs w:val="22"/>
        </w:rPr>
        <w:t>Thursday, August 4, 2016</w:t>
      </w:r>
      <w:r w:rsidR="00C4698E">
        <w:rPr>
          <w:rFonts w:ascii="Calibri" w:hAnsi="Calibri"/>
          <w:sz w:val="22"/>
          <w:szCs w:val="22"/>
        </w:rPr>
        <w:t>; - review/discussion/action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02287" w:rsidRDefault="00002287" w:rsidP="000617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0617D5">
        <w:rPr>
          <w:rFonts w:ascii="Calibri" w:hAnsi="Calibri"/>
          <w:sz w:val="22"/>
          <w:szCs w:val="22"/>
          <w:u w:val="single"/>
        </w:rPr>
        <w:t xml:space="preserve">Request for </w:t>
      </w:r>
      <w:r w:rsidR="000617D5" w:rsidRPr="000617D5">
        <w:rPr>
          <w:rFonts w:ascii="Calibri" w:hAnsi="Calibri"/>
          <w:sz w:val="22"/>
          <w:szCs w:val="22"/>
          <w:u w:val="single"/>
        </w:rPr>
        <w:t>4 year extension of Site Plan</w:t>
      </w:r>
      <w:r w:rsidR="000617D5">
        <w:rPr>
          <w:rFonts w:ascii="Calibri" w:hAnsi="Calibri"/>
          <w:sz w:val="22"/>
          <w:szCs w:val="22"/>
        </w:rPr>
        <w:t xml:space="preserve"> – Jim DiNoia, member of Upper Maple, LLC requests a 4 year extension of the approved site plans until April 18, 2019 (original site plans were approved in 2005 as part of a special use permit #05-862 which has already been extended by the commission); for a 34 Unit Planned Elderly   </w:t>
      </w:r>
    </w:p>
    <w:p w:rsidR="00696CDF" w:rsidRDefault="000617D5" w:rsidP="000617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Housing; property located at 1034 Upper Maple Street; ~6.57 acres; Low Density Zone – review/discussion/action</w:t>
      </w:r>
    </w:p>
    <w:p w:rsidR="00285D82" w:rsidRPr="00C850B2" w:rsidRDefault="00285D82" w:rsidP="000617D5">
      <w:pPr>
        <w:ind w:firstLine="720"/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G.  Requests to Allow Overhead Utilities</w:t>
      </w:r>
      <w:r w:rsidR="00990970" w:rsidRPr="00C850B2">
        <w:rPr>
          <w:rFonts w:ascii="Calibri" w:hAnsi="Calibri"/>
          <w:b/>
          <w:sz w:val="22"/>
          <w:szCs w:val="22"/>
        </w:rPr>
        <w:t xml:space="preserve"> -None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 xml:space="preserve">H.  Upcoming P&amp;Z Commission Meetings 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 xml:space="preserve">1.  Next Regular Meeting – </w:t>
      </w:r>
      <w:r w:rsidR="00E81222">
        <w:rPr>
          <w:rFonts w:ascii="Calibri" w:hAnsi="Calibri"/>
          <w:b/>
          <w:sz w:val="22"/>
          <w:szCs w:val="22"/>
        </w:rPr>
        <w:t>May 16, 2016 – public hearings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 xml:space="preserve">2.  Next Workshop Meeting – </w:t>
      </w:r>
      <w:r w:rsidR="00EE4529">
        <w:rPr>
          <w:rFonts w:ascii="Calibri" w:hAnsi="Calibri"/>
          <w:b/>
          <w:sz w:val="22"/>
          <w:szCs w:val="22"/>
        </w:rPr>
        <w:t>Was S</w:t>
      </w:r>
      <w:r w:rsidR="00E81222">
        <w:rPr>
          <w:rFonts w:ascii="Calibri" w:hAnsi="Calibri"/>
          <w:b/>
          <w:sz w:val="22"/>
          <w:szCs w:val="22"/>
        </w:rPr>
        <w:t>chedule</w:t>
      </w:r>
      <w:r w:rsidR="00EE4529">
        <w:rPr>
          <w:rFonts w:ascii="Calibri" w:hAnsi="Calibri"/>
          <w:b/>
          <w:sz w:val="22"/>
          <w:szCs w:val="22"/>
        </w:rPr>
        <w:t>d</w:t>
      </w:r>
      <w:r w:rsidR="00E81222">
        <w:rPr>
          <w:rFonts w:ascii="Calibri" w:hAnsi="Calibri"/>
          <w:b/>
          <w:sz w:val="22"/>
          <w:szCs w:val="22"/>
        </w:rPr>
        <w:t xml:space="preserve"> for  ________</w:t>
      </w:r>
      <w:r w:rsidR="00990970" w:rsidRPr="00C850B2">
        <w:rPr>
          <w:rFonts w:ascii="Calibri" w:hAnsi="Calibri"/>
          <w:b/>
          <w:sz w:val="22"/>
          <w:szCs w:val="22"/>
        </w:rPr>
        <w:t xml:space="preserve"> – RE: “Earth Filling and Excavation”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sz w:val="22"/>
          <w:szCs w:val="22"/>
        </w:rPr>
        <w:tab/>
      </w:r>
      <w:r w:rsidRPr="00C850B2">
        <w:rPr>
          <w:rFonts w:ascii="Calibri" w:hAnsi="Calibri"/>
          <w:b/>
          <w:sz w:val="22"/>
          <w:szCs w:val="22"/>
        </w:rPr>
        <w:t xml:space="preserve">3.  Next Special Meeting – </w:t>
      </w:r>
      <w:r w:rsidR="00990970" w:rsidRPr="00C850B2">
        <w:rPr>
          <w:rFonts w:ascii="Calibri" w:hAnsi="Calibri"/>
          <w:b/>
          <w:sz w:val="22"/>
          <w:szCs w:val="22"/>
        </w:rPr>
        <w:t>None</w:t>
      </w:r>
    </w:p>
    <w:p w:rsidR="00285D82" w:rsidRPr="00C850B2" w:rsidRDefault="00285D82" w:rsidP="004A01EE">
      <w:pPr>
        <w:rPr>
          <w:rFonts w:ascii="Calibri" w:hAnsi="Calibri"/>
          <w:sz w:val="22"/>
          <w:szCs w:val="22"/>
        </w:rPr>
      </w:pP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XII.</w:t>
      </w:r>
      <w:r w:rsidRPr="00C850B2">
        <w:rPr>
          <w:rFonts w:ascii="Calibri" w:hAnsi="Calibri"/>
          <w:b/>
          <w:sz w:val="22"/>
          <w:szCs w:val="22"/>
        </w:rPr>
        <w:tab/>
        <w:t>ECONOMIC DEVELOPMENT DIRECTOR REPORT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XIII.</w:t>
      </w:r>
      <w:r w:rsidRPr="00C850B2">
        <w:rPr>
          <w:rFonts w:ascii="Calibri" w:hAnsi="Calibri"/>
          <w:b/>
          <w:sz w:val="22"/>
          <w:szCs w:val="22"/>
        </w:rPr>
        <w:tab/>
        <w:t>TOWN COUNCIL LIAISON REPORT</w:t>
      </w:r>
    </w:p>
    <w:p w:rsidR="00285D82" w:rsidRPr="00C850B2" w:rsidRDefault="00285D82" w:rsidP="004A01EE">
      <w:pPr>
        <w:rPr>
          <w:rFonts w:ascii="Calibri" w:hAnsi="Calibri"/>
          <w:b/>
          <w:sz w:val="22"/>
          <w:szCs w:val="22"/>
        </w:rPr>
      </w:pPr>
      <w:r w:rsidRPr="00C850B2">
        <w:rPr>
          <w:rFonts w:ascii="Calibri" w:hAnsi="Calibri"/>
          <w:b/>
          <w:sz w:val="22"/>
          <w:szCs w:val="22"/>
        </w:rPr>
        <w:t>XIV.</w:t>
      </w:r>
      <w:r w:rsidRPr="00C850B2">
        <w:rPr>
          <w:rFonts w:ascii="Calibri" w:hAnsi="Calibri"/>
          <w:b/>
          <w:sz w:val="22"/>
          <w:szCs w:val="22"/>
        </w:rPr>
        <w:tab/>
        <w:t>ADJOURNMENT</w:t>
      </w:r>
    </w:p>
    <w:sectPr w:rsidR="00285D82" w:rsidRPr="00C850B2" w:rsidSect="00FA6F14">
      <w:headerReference w:type="even" r:id="rId10"/>
      <w:headerReference w:type="default" r:id="rId11"/>
      <w:type w:val="continuous"/>
      <w:pgSz w:w="12240" w:h="15840"/>
      <w:pgMar w:top="720" w:right="720" w:bottom="720" w:left="72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2" w:rsidRDefault="007650E2">
      <w:r>
        <w:separator/>
      </w:r>
    </w:p>
  </w:endnote>
  <w:endnote w:type="continuationSeparator" w:id="0">
    <w:p w:rsidR="007650E2" w:rsidRDefault="007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2" w:rsidRDefault="007650E2">
      <w:r>
        <w:separator/>
      </w:r>
    </w:p>
  </w:footnote>
  <w:footnote w:type="continuationSeparator" w:id="0">
    <w:p w:rsidR="007650E2" w:rsidRDefault="0076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34" w:rsidRDefault="00C353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34" w:rsidRDefault="00C353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34" w:rsidRDefault="00C353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FD7">
      <w:rPr>
        <w:rStyle w:val="PageNumber"/>
        <w:noProof/>
      </w:rPr>
      <w:t>4</w:t>
    </w:r>
    <w:r>
      <w:rPr>
        <w:rStyle w:val="PageNumber"/>
      </w:rPr>
      <w:fldChar w:fldCharType="end"/>
    </w:r>
  </w:p>
  <w:p w:rsidR="00C35334" w:rsidRPr="00DE1563" w:rsidRDefault="00C35334">
    <w:pPr>
      <w:pStyle w:val="Header"/>
      <w:ind w:right="360"/>
      <w:rPr>
        <w:rFonts w:ascii="Arial" w:hAnsi="Arial" w:cs="Arial"/>
        <w:sz w:val="18"/>
        <w:szCs w:val="18"/>
      </w:rPr>
    </w:pPr>
    <w:r w:rsidRPr="00DE1563">
      <w:rPr>
        <w:rFonts w:ascii="Arial" w:hAnsi="Arial" w:cs="Arial"/>
        <w:sz w:val="18"/>
        <w:szCs w:val="18"/>
      </w:rPr>
      <w:t>Killingly Planning &amp; Zoning Commission</w:t>
    </w:r>
  </w:p>
  <w:p w:rsidR="00C35334" w:rsidRPr="00DE1563" w:rsidRDefault="00D23727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04/18/16</w:t>
    </w:r>
    <w:r w:rsidR="00F74E61">
      <w:rPr>
        <w:rFonts w:ascii="Arial" w:hAnsi="Arial" w:cs="Arial"/>
        <w:sz w:val="18"/>
        <w:szCs w:val="18"/>
      </w:rPr>
      <w:t xml:space="preserve"> Regular Meeting Agenda</w:t>
    </w:r>
  </w:p>
  <w:p w:rsidR="00C35334" w:rsidRDefault="00C35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Heading4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DC74818"/>
    <w:multiLevelType w:val="hybridMultilevel"/>
    <w:tmpl w:val="58FAFBC6"/>
    <w:lvl w:ilvl="0" w:tplc="370E9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366"/>
    <w:multiLevelType w:val="hybridMultilevel"/>
    <w:tmpl w:val="2F5E9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A2C2B"/>
    <w:multiLevelType w:val="hybridMultilevel"/>
    <w:tmpl w:val="5C8E2D34"/>
    <w:lvl w:ilvl="0" w:tplc="47E0C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855"/>
    <w:multiLevelType w:val="hybridMultilevel"/>
    <w:tmpl w:val="8DAED9C4"/>
    <w:lvl w:ilvl="0" w:tplc="D43C897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982647"/>
    <w:multiLevelType w:val="hybridMultilevel"/>
    <w:tmpl w:val="00EE0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31B8"/>
    <w:multiLevelType w:val="hybridMultilevel"/>
    <w:tmpl w:val="13CCF554"/>
    <w:lvl w:ilvl="0" w:tplc="DD0813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CA6"/>
    <w:multiLevelType w:val="hybridMultilevel"/>
    <w:tmpl w:val="1C4ABEB6"/>
    <w:lvl w:ilvl="0" w:tplc="9A7650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1CE2"/>
    <w:multiLevelType w:val="hybridMultilevel"/>
    <w:tmpl w:val="9C5C0932"/>
    <w:lvl w:ilvl="0" w:tplc="9DEAB93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3E0DFD"/>
    <w:multiLevelType w:val="hybridMultilevel"/>
    <w:tmpl w:val="1DF47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97AC0"/>
    <w:multiLevelType w:val="hybridMultilevel"/>
    <w:tmpl w:val="0C8E1FF8"/>
    <w:lvl w:ilvl="0" w:tplc="6B1ED3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9DF"/>
    <w:multiLevelType w:val="hybridMultilevel"/>
    <w:tmpl w:val="B2E2FB96"/>
    <w:lvl w:ilvl="0" w:tplc="CC127BB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53162B"/>
    <w:multiLevelType w:val="hybridMultilevel"/>
    <w:tmpl w:val="65665CA8"/>
    <w:lvl w:ilvl="0" w:tplc="53600B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45AC6"/>
    <w:multiLevelType w:val="hybridMultilevel"/>
    <w:tmpl w:val="2EC0E560"/>
    <w:lvl w:ilvl="0" w:tplc="2016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4507E"/>
    <w:multiLevelType w:val="hybridMultilevel"/>
    <w:tmpl w:val="B0B25406"/>
    <w:lvl w:ilvl="0" w:tplc="80D849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8C"/>
    <w:rsid w:val="000000AF"/>
    <w:rsid w:val="0000127B"/>
    <w:rsid w:val="00002287"/>
    <w:rsid w:val="0000392A"/>
    <w:rsid w:val="0000601D"/>
    <w:rsid w:val="00007EA3"/>
    <w:rsid w:val="000100EF"/>
    <w:rsid w:val="000101AC"/>
    <w:rsid w:val="00010652"/>
    <w:rsid w:val="00011C22"/>
    <w:rsid w:val="000136C0"/>
    <w:rsid w:val="00014D35"/>
    <w:rsid w:val="00015A84"/>
    <w:rsid w:val="00015C85"/>
    <w:rsid w:val="00016018"/>
    <w:rsid w:val="00017CB3"/>
    <w:rsid w:val="00020C1C"/>
    <w:rsid w:val="00024D12"/>
    <w:rsid w:val="00025334"/>
    <w:rsid w:val="000307AD"/>
    <w:rsid w:val="00031CB6"/>
    <w:rsid w:val="00034F62"/>
    <w:rsid w:val="0003531F"/>
    <w:rsid w:val="00036877"/>
    <w:rsid w:val="00042C1C"/>
    <w:rsid w:val="000449E7"/>
    <w:rsid w:val="000469BA"/>
    <w:rsid w:val="00046B2D"/>
    <w:rsid w:val="0004790F"/>
    <w:rsid w:val="00050A5E"/>
    <w:rsid w:val="00051630"/>
    <w:rsid w:val="00051691"/>
    <w:rsid w:val="000532C9"/>
    <w:rsid w:val="0005544E"/>
    <w:rsid w:val="000565BB"/>
    <w:rsid w:val="000617D5"/>
    <w:rsid w:val="00071937"/>
    <w:rsid w:val="00071FB1"/>
    <w:rsid w:val="0007213A"/>
    <w:rsid w:val="00072C06"/>
    <w:rsid w:val="00085823"/>
    <w:rsid w:val="00085D30"/>
    <w:rsid w:val="000866AF"/>
    <w:rsid w:val="00087364"/>
    <w:rsid w:val="000915ED"/>
    <w:rsid w:val="0009391F"/>
    <w:rsid w:val="00096E1C"/>
    <w:rsid w:val="00096FDF"/>
    <w:rsid w:val="000A583A"/>
    <w:rsid w:val="000A652F"/>
    <w:rsid w:val="000B0490"/>
    <w:rsid w:val="000B581C"/>
    <w:rsid w:val="000B7D88"/>
    <w:rsid w:val="000C1C61"/>
    <w:rsid w:val="000C2DC4"/>
    <w:rsid w:val="000C37F2"/>
    <w:rsid w:val="000D0D91"/>
    <w:rsid w:val="000D11F8"/>
    <w:rsid w:val="000D3A74"/>
    <w:rsid w:val="000D40CF"/>
    <w:rsid w:val="000D5455"/>
    <w:rsid w:val="000E3852"/>
    <w:rsid w:val="000E7288"/>
    <w:rsid w:val="000F0F61"/>
    <w:rsid w:val="000F1DD8"/>
    <w:rsid w:val="001021D1"/>
    <w:rsid w:val="00105229"/>
    <w:rsid w:val="00105D2D"/>
    <w:rsid w:val="0010705D"/>
    <w:rsid w:val="001074C9"/>
    <w:rsid w:val="001079C8"/>
    <w:rsid w:val="00110D32"/>
    <w:rsid w:val="00110FA2"/>
    <w:rsid w:val="00111775"/>
    <w:rsid w:val="00111BE2"/>
    <w:rsid w:val="00116593"/>
    <w:rsid w:val="00117FB4"/>
    <w:rsid w:val="00120100"/>
    <w:rsid w:val="00123311"/>
    <w:rsid w:val="00123C1C"/>
    <w:rsid w:val="00125096"/>
    <w:rsid w:val="0012558D"/>
    <w:rsid w:val="001273A1"/>
    <w:rsid w:val="0014103C"/>
    <w:rsid w:val="00143A3F"/>
    <w:rsid w:val="00150D66"/>
    <w:rsid w:val="0015180D"/>
    <w:rsid w:val="00151C15"/>
    <w:rsid w:val="0015425A"/>
    <w:rsid w:val="00162048"/>
    <w:rsid w:val="00165510"/>
    <w:rsid w:val="00167D16"/>
    <w:rsid w:val="0017014D"/>
    <w:rsid w:val="001743A1"/>
    <w:rsid w:val="00176B81"/>
    <w:rsid w:val="00184050"/>
    <w:rsid w:val="0019142B"/>
    <w:rsid w:val="00192EAE"/>
    <w:rsid w:val="00195E83"/>
    <w:rsid w:val="0019618D"/>
    <w:rsid w:val="00196AEF"/>
    <w:rsid w:val="001979C2"/>
    <w:rsid w:val="001A3F30"/>
    <w:rsid w:val="001A77FD"/>
    <w:rsid w:val="001B01EF"/>
    <w:rsid w:val="001B122F"/>
    <w:rsid w:val="001B20EE"/>
    <w:rsid w:val="001B28C1"/>
    <w:rsid w:val="001B4B38"/>
    <w:rsid w:val="001B6B37"/>
    <w:rsid w:val="001B7F86"/>
    <w:rsid w:val="001C05AC"/>
    <w:rsid w:val="001C0CF1"/>
    <w:rsid w:val="001C210D"/>
    <w:rsid w:val="001C5425"/>
    <w:rsid w:val="001D1AC0"/>
    <w:rsid w:val="001D34FD"/>
    <w:rsid w:val="001D50DA"/>
    <w:rsid w:val="001D54D0"/>
    <w:rsid w:val="001D560E"/>
    <w:rsid w:val="001D61F7"/>
    <w:rsid w:val="001E26DB"/>
    <w:rsid w:val="001E2F52"/>
    <w:rsid w:val="001E4051"/>
    <w:rsid w:val="001E4B41"/>
    <w:rsid w:val="001E5B9D"/>
    <w:rsid w:val="001E5C62"/>
    <w:rsid w:val="001F6486"/>
    <w:rsid w:val="001F6A29"/>
    <w:rsid w:val="00201219"/>
    <w:rsid w:val="0020128E"/>
    <w:rsid w:val="00203A96"/>
    <w:rsid w:val="0021006C"/>
    <w:rsid w:val="002102C0"/>
    <w:rsid w:val="0021638D"/>
    <w:rsid w:val="002212EA"/>
    <w:rsid w:val="00221C02"/>
    <w:rsid w:val="002238D0"/>
    <w:rsid w:val="00225FF4"/>
    <w:rsid w:val="00226A71"/>
    <w:rsid w:val="002300C0"/>
    <w:rsid w:val="00232F0D"/>
    <w:rsid w:val="00243B74"/>
    <w:rsid w:val="00244787"/>
    <w:rsid w:val="00244A3F"/>
    <w:rsid w:val="002476DD"/>
    <w:rsid w:val="0025165B"/>
    <w:rsid w:val="00256661"/>
    <w:rsid w:val="00256683"/>
    <w:rsid w:val="00256E4A"/>
    <w:rsid w:val="00261B80"/>
    <w:rsid w:val="0026473A"/>
    <w:rsid w:val="00270B2A"/>
    <w:rsid w:val="00280F1B"/>
    <w:rsid w:val="002810B6"/>
    <w:rsid w:val="00282A65"/>
    <w:rsid w:val="00284B0C"/>
    <w:rsid w:val="00285D82"/>
    <w:rsid w:val="0028725F"/>
    <w:rsid w:val="00294F29"/>
    <w:rsid w:val="002A160D"/>
    <w:rsid w:val="002A54E1"/>
    <w:rsid w:val="002B1322"/>
    <w:rsid w:val="002B69E2"/>
    <w:rsid w:val="002C2FA3"/>
    <w:rsid w:val="002C2FF6"/>
    <w:rsid w:val="002C31CE"/>
    <w:rsid w:val="002C71F6"/>
    <w:rsid w:val="002D1438"/>
    <w:rsid w:val="002D454B"/>
    <w:rsid w:val="002D53D6"/>
    <w:rsid w:val="002D5C7B"/>
    <w:rsid w:val="002E0F93"/>
    <w:rsid w:val="002E74AF"/>
    <w:rsid w:val="002F01A2"/>
    <w:rsid w:val="002F0D8C"/>
    <w:rsid w:val="002F1D97"/>
    <w:rsid w:val="002F29A9"/>
    <w:rsid w:val="002F4027"/>
    <w:rsid w:val="002F411E"/>
    <w:rsid w:val="002F48DD"/>
    <w:rsid w:val="002F6077"/>
    <w:rsid w:val="002F6535"/>
    <w:rsid w:val="002F6665"/>
    <w:rsid w:val="002F6B6E"/>
    <w:rsid w:val="0030119C"/>
    <w:rsid w:val="00301639"/>
    <w:rsid w:val="00304E13"/>
    <w:rsid w:val="00306644"/>
    <w:rsid w:val="0031106F"/>
    <w:rsid w:val="003131E2"/>
    <w:rsid w:val="00315FDE"/>
    <w:rsid w:val="00321C47"/>
    <w:rsid w:val="00323028"/>
    <w:rsid w:val="00326C96"/>
    <w:rsid w:val="0033178A"/>
    <w:rsid w:val="00331839"/>
    <w:rsid w:val="003344EA"/>
    <w:rsid w:val="00341295"/>
    <w:rsid w:val="00341EAE"/>
    <w:rsid w:val="00342A3C"/>
    <w:rsid w:val="00342E45"/>
    <w:rsid w:val="00352351"/>
    <w:rsid w:val="0035245F"/>
    <w:rsid w:val="003539E4"/>
    <w:rsid w:val="00354263"/>
    <w:rsid w:val="0035491E"/>
    <w:rsid w:val="003603A2"/>
    <w:rsid w:val="003610E5"/>
    <w:rsid w:val="00361154"/>
    <w:rsid w:val="003663AD"/>
    <w:rsid w:val="00367276"/>
    <w:rsid w:val="0037366B"/>
    <w:rsid w:val="0037527E"/>
    <w:rsid w:val="0037705A"/>
    <w:rsid w:val="00377D08"/>
    <w:rsid w:val="003829CE"/>
    <w:rsid w:val="00382D54"/>
    <w:rsid w:val="00384CC4"/>
    <w:rsid w:val="003850F2"/>
    <w:rsid w:val="0038724F"/>
    <w:rsid w:val="00387E87"/>
    <w:rsid w:val="0039188D"/>
    <w:rsid w:val="00391945"/>
    <w:rsid w:val="00392F69"/>
    <w:rsid w:val="00393F4F"/>
    <w:rsid w:val="00395106"/>
    <w:rsid w:val="003A29FF"/>
    <w:rsid w:val="003A5F96"/>
    <w:rsid w:val="003A62CE"/>
    <w:rsid w:val="003B02AA"/>
    <w:rsid w:val="003B1F21"/>
    <w:rsid w:val="003B76A6"/>
    <w:rsid w:val="003B7C77"/>
    <w:rsid w:val="003C037F"/>
    <w:rsid w:val="003C04D7"/>
    <w:rsid w:val="003C054C"/>
    <w:rsid w:val="003C083E"/>
    <w:rsid w:val="003C22E3"/>
    <w:rsid w:val="003C3D9C"/>
    <w:rsid w:val="003C41B2"/>
    <w:rsid w:val="003C4910"/>
    <w:rsid w:val="003C7AD9"/>
    <w:rsid w:val="003D0D3B"/>
    <w:rsid w:val="003D33E6"/>
    <w:rsid w:val="003D38F8"/>
    <w:rsid w:val="003D3BAE"/>
    <w:rsid w:val="003D6370"/>
    <w:rsid w:val="003D6A4E"/>
    <w:rsid w:val="003D6B0D"/>
    <w:rsid w:val="003E2351"/>
    <w:rsid w:val="003E3D33"/>
    <w:rsid w:val="003E5793"/>
    <w:rsid w:val="003F030D"/>
    <w:rsid w:val="003F10BE"/>
    <w:rsid w:val="003F27A0"/>
    <w:rsid w:val="004003B3"/>
    <w:rsid w:val="00402704"/>
    <w:rsid w:val="004101B2"/>
    <w:rsid w:val="00413A09"/>
    <w:rsid w:val="004168ED"/>
    <w:rsid w:val="0042038C"/>
    <w:rsid w:val="0042295D"/>
    <w:rsid w:val="004233A4"/>
    <w:rsid w:val="00426A63"/>
    <w:rsid w:val="0043292D"/>
    <w:rsid w:val="004347A7"/>
    <w:rsid w:val="004431D4"/>
    <w:rsid w:val="0044506D"/>
    <w:rsid w:val="0044709C"/>
    <w:rsid w:val="00447F4C"/>
    <w:rsid w:val="00455DB4"/>
    <w:rsid w:val="00456F9E"/>
    <w:rsid w:val="00457EA4"/>
    <w:rsid w:val="004662F9"/>
    <w:rsid w:val="00473605"/>
    <w:rsid w:val="004738D6"/>
    <w:rsid w:val="00480B3B"/>
    <w:rsid w:val="004848E9"/>
    <w:rsid w:val="0048515B"/>
    <w:rsid w:val="0048758A"/>
    <w:rsid w:val="00490B8D"/>
    <w:rsid w:val="00490ED6"/>
    <w:rsid w:val="004910F4"/>
    <w:rsid w:val="00492828"/>
    <w:rsid w:val="00492C43"/>
    <w:rsid w:val="00496898"/>
    <w:rsid w:val="0049760D"/>
    <w:rsid w:val="004A01A6"/>
    <w:rsid w:val="004A01EE"/>
    <w:rsid w:val="004A0676"/>
    <w:rsid w:val="004A1953"/>
    <w:rsid w:val="004A2205"/>
    <w:rsid w:val="004A2FE8"/>
    <w:rsid w:val="004A6105"/>
    <w:rsid w:val="004B0131"/>
    <w:rsid w:val="004B157C"/>
    <w:rsid w:val="004B37C7"/>
    <w:rsid w:val="004B4C39"/>
    <w:rsid w:val="004B5672"/>
    <w:rsid w:val="004B5B19"/>
    <w:rsid w:val="004C5E5E"/>
    <w:rsid w:val="004D1EE5"/>
    <w:rsid w:val="004D30A3"/>
    <w:rsid w:val="004D7833"/>
    <w:rsid w:val="004E06F0"/>
    <w:rsid w:val="004E0E5B"/>
    <w:rsid w:val="004E10C0"/>
    <w:rsid w:val="004E185C"/>
    <w:rsid w:val="004E1A12"/>
    <w:rsid w:val="004E3CEE"/>
    <w:rsid w:val="004E4F4C"/>
    <w:rsid w:val="004E5986"/>
    <w:rsid w:val="004E5E68"/>
    <w:rsid w:val="004F01A0"/>
    <w:rsid w:val="004F0998"/>
    <w:rsid w:val="004F44AE"/>
    <w:rsid w:val="00503013"/>
    <w:rsid w:val="005039E5"/>
    <w:rsid w:val="0050727C"/>
    <w:rsid w:val="00507921"/>
    <w:rsid w:val="0051210A"/>
    <w:rsid w:val="00524718"/>
    <w:rsid w:val="005317F8"/>
    <w:rsid w:val="00532A44"/>
    <w:rsid w:val="00540E28"/>
    <w:rsid w:val="00541430"/>
    <w:rsid w:val="0055387B"/>
    <w:rsid w:val="00554D73"/>
    <w:rsid w:val="00557162"/>
    <w:rsid w:val="00560F02"/>
    <w:rsid w:val="005672CD"/>
    <w:rsid w:val="00571A50"/>
    <w:rsid w:val="005721A9"/>
    <w:rsid w:val="00572549"/>
    <w:rsid w:val="005743AF"/>
    <w:rsid w:val="00581043"/>
    <w:rsid w:val="005855FE"/>
    <w:rsid w:val="00585931"/>
    <w:rsid w:val="0059174B"/>
    <w:rsid w:val="00591EBA"/>
    <w:rsid w:val="005956C8"/>
    <w:rsid w:val="005958B4"/>
    <w:rsid w:val="00596CA2"/>
    <w:rsid w:val="005A0132"/>
    <w:rsid w:val="005A2586"/>
    <w:rsid w:val="005A6BAA"/>
    <w:rsid w:val="005A6DD7"/>
    <w:rsid w:val="005B01FF"/>
    <w:rsid w:val="005B26BD"/>
    <w:rsid w:val="005B51EF"/>
    <w:rsid w:val="005C033F"/>
    <w:rsid w:val="005C1129"/>
    <w:rsid w:val="005C1E76"/>
    <w:rsid w:val="005C3E03"/>
    <w:rsid w:val="005C41DC"/>
    <w:rsid w:val="005C746D"/>
    <w:rsid w:val="005D1857"/>
    <w:rsid w:val="005D4337"/>
    <w:rsid w:val="005D44AD"/>
    <w:rsid w:val="005D461A"/>
    <w:rsid w:val="005D6977"/>
    <w:rsid w:val="005D7305"/>
    <w:rsid w:val="005E0896"/>
    <w:rsid w:val="005E0A30"/>
    <w:rsid w:val="005E5C5C"/>
    <w:rsid w:val="005E6FE0"/>
    <w:rsid w:val="005E7086"/>
    <w:rsid w:val="005E7D8C"/>
    <w:rsid w:val="005F29B7"/>
    <w:rsid w:val="005F3D34"/>
    <w:rsid w:val="005F4435"/>
    <w:rsid w:val="005F7401"/>
    <w:rsid w:val="006015F9"/>
    <w:rsid w:val="0061184D"/>
    <w:rsid w:val="00615899"/>
    <w:rsid w:val="00622221"/>
    <w:rsid w:val="006240ED"/>
    <w:rsid w:val="00627FC3"/>
    <w:rsid w:val="00630566"/>
    <w:rsid w:val="00631237"/>
    <w:rsid w:val="006347EF"/>
    <w:rsid w:val="00634F88"/>
    <w:rsid w:val="00636D46"/>
    <w:rsid w:val="00637645"/>
    <w:rsid w:val="00637CCE"/>
    <w:rsid w:val="00641754"/>
    <w:rsid w:val="006422E9"/>
    <w:rsid w:val="0064472B"/>
    <w:rsid w:val="0064771D"/>
    <w:rsid w:val="0065162A"/>
    <w:rsid w:val="00651DD9"/>
    <w:rsid w:val="00652F9A"/>
    <w:rsid w:val="006553F3"/>
    <w:rsid w:val="006579A6"/>
    <w:rsid w:val="00663BE1"/>
    <w:rsid w:val="00665DC4"/>
    <w:rsid w:val="00666180"/>
    <w:rsid w:val="00667972"/>
    <w:rsid w:val="00672119"/>
    <w:rsid w:val="00675FD7"/>
    <w:rsid w:val="006767AD"/>
    <w:rsid w:val="006773F2"/>
    <w:rsid w:val="006801FB"/>
    <w:rsid w:val="00683318"/>
    <w:rsid w:val="00684653"/>
    <w:rsid w:val="00690D08"/>
    <w:rsid w:val="006921A0"/>
    <w:rsid w:val="00696999"/>
    <w:rsid w:val="00696CDF"/>
    <w:rsid w:val="00696DC9"/>
    <w:rsid w:val="006A06B0"/>
    <w:rsid w:val="006A13CA"/>
    <w:rsid w:val="006A2532"/>
    <w:rsid w:val="006A2888"/>
    <w:rsid w:val="006B5C60"/>
    <w:rsid w:val="006B7784"/>
    <w:rsid w:val="006C5CB4"/>
    <w:rsid w:val="006C740A"/>
    <w:rsid w:val="006D2172"/>
    <w:rsid w:val="006D28C5"/>
    <w:rsid w:val="006D56EA"/>
    <w:rsid w:val="006D7795"/>
    <w:rsid w:val="006E27D8"/>
    <w:rsid w:val="006E288A"/>
    <w:rsid w:val="006E2915"/>
    <w:rsid w:val="006E476C"/>
    <w:rsid w:val="006E6172"/>
    <w:rsid w:val="006E7228"/>
    <w:rsid w:val="006F046E"/>
    <w:rsid w:val="006F12F3"/>
    <w:rsid w:val="006F3D65"/>
    <w:rsid w:val="006F4101"/>
    <w:rsid w:val="006F4BAB"/>
    <w:rsid w:val="006F68BF"/>
    <w:rsid w:val="006F763A"/>
    <w:rsid w:val="006F776B"/>
    <w:rsid w:val="006F7C9E"/>
    <w:rsid w:val="00700164"/>
    <w:rsid w:val="00702998"/>
    <w:rsid w:val="00702A81"/>
    <w:rsid w:val="00702CC2"/>
    <w:rsid w:val="00703E30"/>
    <w:rsid w:val="007061D3"/>
    <w:rsid w:val="00710214"/>
    <w:rsid w:val="00711EEB"/>
    <w:rsid w:val="00712096"/>
    <w:rsid w:val="00712161"/>
    <w:rsid w:val="00713296"/>
    <w:rsid w:val="007135DE"/>
    <w:rsid w:val="0071413D"/>
    <w:rsid w:val="00714A3F"/>
    <w:rsid w:val="0072177F"/>
    <w:rsid w:val="007227CD"/>
    <w:rsid w:val="0072373F"/>
    <w:rsid w:val="007268F7"/>
    <w:rsid w:val="00730C3D"/>
    <w:rsid w:val="00731673"/>
    <w:rsid w:val="00733E47"/>
    <w:rsid w:val="00746CDC"/>
    <w:rsid w:val="00750AD7"/>
    <w:rsid w:val="00753119"/>
    <w:rsid w:val="007550C3"/>
    <w:rsid w:val="00756C2C"/>
    <w:rsid w:val="00757F52"/>
    <w:rsid w:val="0076054C"/>
    <w:rsid w:val="00761A69"/>
    <w:rsid w:val="00761B94"/>
    <w:rsid w:val="007650E2"/>
    <w:rsid w:val="00765156"/>
    <w:rsid w:val="00770581"/>
    <w:rsid w:val="00771F4B"/>
    <w:rsid w:val="007724EC"/>
    <w:rsid w:val="00772C0C"/>
    <w:rsid w:val="00773E6E"/>
    <w:rsid w:val="00774BDB"/>
    <w:rsid w:val="007753D4"/>
    <w:rsid w:val="00776CFB"/>
    <w:rsid w:val="00780123"/>
    <w:rsid w:val="00782401"/>
    <w:rsid w:val="00782C8C"/>
    <w:rsid w:val="00784C79"/>
    <w:rsid w:val="00785C64"/>
    <w:rsid w:val="007861D3"/>
    <w:rsid w:val="0079139B"/>
    <w:rsid w:val="0079220E"/>
    <w:rsid w:val="00793C7E"/>
    <w:rsid w:val="00795454"/>
    <w:rsid w:val="00795E6F"/>
    <w:rsid w:val="00797A5D"/>
    <w:rsid w:val="007A14FB"/>
    <w:rsid w:val="007A1C09"/>
    <w:rsid w:val="007A23E9"/>
    <w:rsid w:val="007A3462"/>
    <w:rsid w:val="007A54A6"/>
    <w:rsid w:val="007A786E"/>
    <w:rsid w:val="007B00BD"/>
    <w:rsid w:val="007B16C3"/>
    <w:rsid w:val="007B2AA5"/>
    <w:rsid w:val="007B3B24"/>
    <w:rsid w:val="007B5C9D"/>
    <w:rsid w:val="007C2750"/>
    <w:rsid w:val="007C2E12"/>
    <w:rsid w:val="007C3416"/>
    <w:rsid w:val="007C592B"/>
    <w:rsid w:val="007C5E54"/>
    <w:rsid w:val="007D20E4"/>
    <w:rsid w:val="007D2234"/>
    <w:rsid w:val="007D4CA2"/>
    <w:rsid w:val="007D61C4"/>
    <w:rsid w:val="007E016F"/>
    <w:rsid w:val="007E02DD"/>
    <w:rsid w:val="007E26BA"/>
    <w:rsid w:val="007F2B83"/>
    <w:rsid w:val="007F2F59"/>
    <w:rsid w:val="007F2FD7"/>
    <w:rsid w:val="007F324E"/>
    <w:rsid w:val="007F7139"/>
    <w:rsid w:val="00801266"/>
    <w:rsid w:val="008026D8"/>
    <w:rsid w:val="00802B54"/>
    <w:rsid w:val="00806142"/>
    <w:rsid w:val="00811A08"/>
    <w:rsid w:val="00811D08"/>
    <w:rsid w:val="008127F8"/>
    <w:rsid w:val="00814DF1"/>
    <w:rsid w:val="00815116"/>
    <w:rsid w:val="00815CEE"/>
    <w:rsid w:val="00816CA2"/>
    <w:rsid w:val="00821AC5"/>
    <w:rsid w:val="00823519"/>
    <w:rsid w:val="00823F19"/>
    <w:rsid w:val="00827106"/>
    <w:rsid w:val="00830B5D"/>
    <w:rsid w:val="00832A93"/>
    <w:rsid w:val="00833E29"/>
    <w:rsid w:val="0083543F"/>
    <w:rsid w:val="00835E75"/>
    <w:rsid w:val="008421EB"/>
    <w:rsid w:val="00842BAE"/>
    <w:rsid w:val="00842CB4"/>
    <w:rsid w:val="00846866"/>
    <w:rsid w:val="008509A4"/>
    <w:rsid w:val="00850FA2"/>
    <w:rsid w:val="008514C0"/>
    <w:rsid w:val="00851E14"/>
    <w:rsid w:val="0085573D"/>
    <w:rsid w:val="0085691B"/>
    <w:rsid w:val="00857553"/>
    <w:rsid w:val="0086667F"/>
    <w:rsid w:val="00871D34"/>
    <w:rsid w:val="008733B0"/>
    <w:rsid w:val="00875B87"/>
    <w:rsid w:val="008766C9"/>
    <w:rsid w:val="00883E6F"/>
    <w:rsid w:val="00884AB4"/>
    <w:rsid w:val="00886B75"/>
    <w:rsid w:val="0088763C"/>
    <w:rsid w:val="008906D0"/>
    <w:rsid w:val="00892100"/>
    <w:rsid w:val="00892731"/>
    <w:rsid w:val="00892F50"/>
    <w:rsid w:val="00893237"/>
    <w:rsid w:val="00893412"/>
    <w:rsid w:val="00893F39"/>
    <w:rsid w:val="00894768"/>
    <w:rsid w:val="00894EF9"/>
    <w:rsid w:val="008966C0"/>
    <w:rsid w:val="00897084"/>
    <w:rsid w:val="0089765D"/>
    <w:rsid w:val="008A2F5E"/>
    <w:rsid w:val="008A5BE9"/>
    <w:rsid w:val="008A7EF5"/>
    <w:rsid w:val="008B1506"/>
    <w:rsid w:val="008B267A"/>
    <w:rsid w:val="008B7A73"/>
    <w:rsid w:val="008C0E6A"/>
    <w:rsid w:val="008C2416"/>
    <w:rsid w:val="008C2B00"/>
    <w:rsid w:val="008C33C3"/>
    <w:rsid w:val="008C47B9"/>
    <w:rsid w:val="008C59F5"/>
    <w:rsid w:val="008D233C"/>
    <w:rsid w:val="008D3FEC"/>
    <w:rsid w:val="008D725B"/>
    <w:rsid w:val="008E2BDF"/>
    <w:rsid w:val="008F331F"/>
    <w:rsid w:val="008F4334"/>
    <w:rsid w:val="008F4B61"/>
    <w:rsid w:val="008F66EE"/>
    <w:rsid w:val="008F6912"/>
    <w:rsid w:val="0090167A"/>
    <w:rsid w:val="00902A4D"/>
    <w:rsid w:val="009030FF"/>
    <w:rsid w:val="00903214"/>
    <w:rsid w:val="00906C86"/>
    <w:rsid w:val="00910703"/>
    <w:rsid w:val="00913543"/>
    <w:rsid w:val="009150E5"/>
    <w:rsid w:val="00915D11"/>
    <w:rsid w:val="009169BF"/>
    <w:rsid w:val="009207BB"/>
    <w:rsid w:val="00922420"/>
    <w:rsid w:val="009233C2"/>
    <w:rsid w:val="00925051"/>
    <w:rsid w:val="00927DE9"/>
    <w:rsid w:val="00937EAF"/>
    <w:rsid w:val="009427C6"/>
    <w:rsid w:val="00945476"/>
    <w:rsid w:val="00947268"/>
    <w:rsid w:val="00947B8C"/>
    <w:rsid w:val="00950728"/>
    <w:rsid w:val="00953CDB"/>
    <w:rsid w:val="009607D2"/>
    <w:rsid w:val="00962673"/>
    <w:rsid w:val="00964D24"/>
    <w:rsid w:val="009650D7"/>
    <w:rsid w:val="0096512B"/>
    <w:rsid w:val="009672B7"/>
    <w:rsid w:val="0096786F"/>
    <w:rsid w:val="00967924"/>
    <w:rsid w:val="00971AE8"/>
    <w:rsid w:val="009824A6"/>
    <w:rsid w:val="00982560"/>
    <w:rsid w:val="009843E5"/>
    <w:rsid w:val="00985AC3"/>
    <w:rsid w:val="009904A5"/>
    <w:rsid w:val="00990970"/>
    <w:rsid w:val="00991023"/>
    <w:rsid w:val="00991062"/>
    <w:rsid w:val="00991922"/>
    <w:rsid w:val="00992FE4"/>
    <w:rsid w:val="00994D84"/>
    <w:rsid w:val="00996B6E"/>
    <w:rsid w:val="00996D9B"/>
    <w:rsid w:val="009A0FBD"/>
    <w:rsid w:val="009A3A82"/>
    <w:rsid w:val="009A4562"/>
    <w:rsid w:val="009A68E5"/>
    <w:rsid w:val="009A6A30"/>
    <w:rsid w:val="009B2459"/>
    <w:rsid w:val="009B4AC7"/>
    <w:rsid w:val="009C5FA6"/>
    <w:rsid w:val="009C6940"/>
    <w:rsid w:val="009C739B"/>
    <w:rsid w:val="009D38AD"/>
    <w:rsid w:val="009D3F68"/>
    <w:rsid w:val="009D4718"/>
    <w:rsid w:val="009D5D4F"/>
    <w:rsid w:val="009E2244"/>
    <w:rsid w:val="009E3E40"/>
    <w:rsid w:val="009E62F9"/>
    <w:rsid w:val="009E65F1"/>
    <w:rsid w:val="009F2E05"/>
    <w:rsid w:val="009F30EF"/>
    <w:rsid w:val="009F401C"/>
    <w:rsid w:val="009F4CED"/>
    <w:rsid w:val="00A00659"/>
    <w:rsid w:val="00A0192E"/>
    <w:rsid w:val="00A11F7C"/>
    <w:rsid w:val="00A1447D"/>
    <w:rsid w:val="00A14561"/>
    <w:rsid w:val="00A14A23"/>
    <w:rsid w:val="00A15E3E"/>
    <w:rsid w:val="00A20A40"/>
    <w:rsid w:val="00A21A88"/>
    <w:rsid w:val="00A22289"/>
    <w:rsid w:val="00A237B4"/>
    <w:rsid w:val="00A23ABD"/>
    <w:rsid w:val="00A23B44"/>
    <w:rsid w:val="00A25850"/>
    <w:rsid w:val="00A325D9"/>
    <w:rsid w:val="00A32708"/>
    <w:rsid w:val="00A32AB3"/>
    <w:rsid w:val="00A33BD0"/>
    <w:rsid w:val="00A34C53"/>
    <w:rsid w:val="00A370BB"/>
    <w:rsid w:val="00A378C1"/>
    <w:rsid w:val="00A40BD0"/>
    <w:rsid w:val="00A473C8"/>
    <w:rsid w:val="00A5108C"/>
    <w:rsid w:val="00A5115D"/>
    <w:rsid w:val="00A51CC0"/>
    <w:rsid w:val="00A57905"/>
    <w:rsid w:val="00A57E0D"/>
    <w:rsid w:val="00A57EEF"/>
    <w:rsid w:val="00A61D13"/>
    <w:rsid w:val="00A63059"/>
    <w:rsid w:val="00A63105"/>
    <w:rsid w:val="00A6637C"/>
    <w:rsid w:val="00A7445C"/>
    <w:rsid w:val="00A74630"/>
    <w:rsid w:val="00A7767C"/>
    <w:rsid w:val="00A81291"/>
    <w:rsid w:val="00A83108"/>
    <w:rsid w:val="00A83383"/>
    <w:rsid w:val="00A83C17"/>
    <w:rsid w:val="00A83C25"/>
    <w:rsid w:val="00A840B8"/>
    <w:rsid w:val="00A84694"/>
    <w:rsid w:val="00A902DF"/>
    <w:rsid w:val="00A91D07"/>
    <w:rsid w:val="00A9209C"/>
    <w:rsid w:val="00A94514"/>
    <w:rsid w:val="00A96C6C"/>
    <w:rsid w:val="00A96CE2"/>
    <w:rsid w:val="00AA2407"/>
    <w:rsid w:val="00AA2CB3"/>
    <w:rsid w:val="00AA7BF1"/>
    <w:rsid w:val="00AB262F"/>
    <w:rsid w:val="00AB2D4E"/>
    <w:rsid w:val="00AB52F4"/>
    <w:rsid w:val="00AB6DF4"/>
    <w:rsid w:val="00AC0172"/>
    <w:rsid w:val="00AC552A"/>
    <w:rsid w:val="00AC589A"/>
    <w:rsid w:val="00AC64AB"/>
    <w:rsid w:val="00AD0A93"/>
    <w:rsid w:val="00AD1708"/>
    <w:rsid w:val="00AD38B5"/>
    <w:rsid w:val="00AD5616"/>
    <w:rsid w:val="00AD6276"/>
    <w:rsid w:val="00AD7448"/>
    <w:rsid w:val="00AE0BFC"/>
    <w:rsid w:val="00AE3E41"/>
    <w:rsid w:val="00AE6E2A"/>
    <w:rsid w:val="00AE6F2F"/>
    <w:rsid w:val="00AE7611"/>
    <w:rsid w:val="00AE780D"/>
    <w:rsid w:val="00AF18C4"/>
    <w:rsid w:val="00AF291A"/>
    <w:rsid w:val="00AF3211"/>
    <w:rsid w:val="00AF328D"/>
    <w:rsid w:val="00AF3CFF"/>
    <w:rsid w:val="00B02753"/>
    <w:rsid w:val="00B03A5D"/>
    <w:rsid w:val="00B0712D"/>
    <w:rsid w:val="00B13640"/>
    <w:rsid w:val="00B17238"/>
    <w:rsid w:val="00B17421"/>
    <w:rsid w:val="00B23017"/>
    <w:rsid w:val="00B27D71"/>
    <w:rsid w:val="00B30829"/>
    <w:rsid w:val="00B3245E"/>
    <w:rsid w:val="00B35AAB"/>
    <w:rsid w:val="00B433D3"/>
    <w:rsid w:val="00B46553"/>
    <w:rsid w:val="00B529F9"/>
    <w:rsid w:val="00B52F82"/>
    <w:rsid w:val="00B559B9"/>
    <w:rsid w:val="00B55AB2"/>
    <w:rsid w:val="00B56D3E"/>
    <w:rsid w:val="00B57036"/>
    <w:rsid w:val="00B572A7"/>
    <w:rsid w:val="00B57389"/>
    <w:rsid w:val="00B60393"/>
    <w:rsid w:val="00B63C51"/>
    <w:rsid w:val="00B641AD"/>
    <w:rsid w:val="00B64AFD"/>
    <w:rsid w:val="00B64F7B"/>
    <w:rsid w:val="00B671D5"/>
    <w:rsid w:val="00B725E7"/>
    <w:rsid w:val="00B73DFF"/>
    <w:rsid w:val="00B74F6C"/>
    <w:rsid w:val="00B75ED7"/>
    <w:rsid w:val="00B7709A"/>
    <w:rsid w:val="00B846C0"/>
    <w:rsid w:val="00B906F0"/>
    <w:rsid w:val="00B90C0F"/>
    <w:rsid w:val="00B9233D"/>
    <w:rsid w:val="00B9574D"/>
    <w:rsid w:val="00B95F68"/>
    <w:rsid w:val="00BA3245"/>
    <w:rsid w:val="00BA3389"/>
    <w:rsid w:val="00BA3953"/>
    <w:rsid w:val="00BA44F9"/>
    <w:rsid w:val="00BA7924"/>
    <w:rsid w:val="00BB0E6E"/>
    <w:rsid w:val="00BB2478"/>
    <w:rsid w:val="00BB312A"/>
    <w:rsid w:val="00BB44B0"/>
    <w:rsid w:val="00BB4611"/>
    <w:rsid w:val="00BB66DA"/>
    <w:rsid w:val="00BB7105"/>
    <w:rsid w:val="00BC1340"/>
    <w:rsid w:val="00BC2077"/>
    <w:rsid w:val="00BC406C"/>
    <w:rsid w:val="00BC76E8"/>
    <w:rsid w:val="00BC7C8E"/>
    <w:rsid w:val="00BD0CA4"/>
    <w:rsid w:val="00BD1786"/>
    <w:rsid w:val="00BD3340"/>
    <w:rsid w:val="00BD5387"/>
    <w:rsid w:val="00BE259D"/>
    <w:rsid w:val="00BE4DE0"/>
    <w:rsid w:val="00BE60E0"/>
    <w:rsid w:val="00BE6CDF"/>
    <w:rsid w:val="00BF0F18"/>
    <w:rsid w:val="00BF11DE"/>
    <w:rsid w:val="00BF5FEF"/>
    <w:rsid w:val="00BF721A"/>
    <w:rsid w:val="00BF742F"/>
    <w:rsid w:val="00BF7D33"/>
    <w:rsid w:val="00C005A4"/>
    <w:rsid w:val="00C01493"/>
    <w:rsid w:val="00C0592F"/>
    <w:rsid w:val="00C05F0B"/>
    <w:rsid w:val="00C07F4C"/>
    <w:rsid w:val="00C112BB"/>
    <w:rsid w:val="00C12C5E"/>
    <w:rsid w:val="00C13DD9"/>
    <w:rsid w:val="00C14DEE"/>
    <w:rsid w:val="00C1686E"/>
    <w:rsid w:val="00C20036"/>
    <w:rsid w:val="00C20F28"/>
    <w:rsid w:val="00C214A2"/>
    <w:rsid w:val="00C21722"/>
    <w:rsid w:val="00C22BC7"/>
    <w:rsid w:val="00C2621B"/>
    <w:rsid w:val="00C272D9"/>
    <w:rsid w:val="00C30440"/>
    <w:rsid w:val="00C34AD3"/>
    <w:rsid w:val="00C34DD5"/>
    <w:rsid w:val="00C3527E"/>
    <w:rsid w:val="00C35334"/>
    <w:rsid w:val="00C377D4"/>
    <w:rsid w:val="00C440DA"/>
    <w:rsid w:val="00C4698E"/>
    <w:rsid w:val="00C50E4B"/>
    <w:rsid w:val="00C5385A"/>
    <w:rsid w:val="00C53F0F"/>
    <w:rsid w:val="00C54853"/>
    <w:rsid w:val="00C56C46"/>
    <w:rsid w:val="00C67A18"/>
    <w:rsid w:val="00C70CB9"/>
    <w:rsid w:val="00C737FE"/>
    <w:rsid w:val="00C73839"/>
    <w:rsid w:val="00C73E7F"/>
    <w:rsid w:val="00C76D24"/>
    <w:rsid w:val="00C774D8"/>
    <w:rsid w:val="00C802E4"/>
    <w:rsid w:val="00C81A75"/>
    <w:rsid w:val="00C83449"/>
    <w:rsid w:val="00C83730"/>
    <w:rsid w:val="00C84637"/>
    <w:rsid w:val="00C85091"/>
    <w:rsid w:val="00C850B2"/>
    <w:rsid w:val="00C94E90"/>
    <w:rsid w:val="00C94F0B"/>
    <w:rsid w:val="00C95A37"/>
    <w:rsid w:val="00C95B18"/>
    <w:rsid w:val="00CA0641"/>
    <w:rsid w:val="00CA240A"/>
    <w:rsid w:val="00CA3BAD"/>
    <w:rsid w:val="00CA3EE4"/>
    <w:rsid w:val="00CB133F"/>
    <w:rsid w:val="00CB23D0"/>
    <w:rsid w:val="00CB3255"/>
    <w:rsid w:val="00CB3256"/>
    <w:rsid w:val="00CB3CE4"/>
    <w:rsid w:val="00CB4605"/>
    <w:rsid w:val="00CB464A"/>
    <w:rsid w:val="00CB5E70"/>
    <w:rsid w:val="00CB72E5"/>
    <w:rsid w:val="00CB7EF1"/>
    <w:rsid w:val="00CB7FAC"/>
    <w:rsid w:val="00CC7D0A"/>
    <w:rsid w:val="00CD331D"/>
    <w:rsid w:val="00CD685B"/>
    <w:rsid w:val="00CD7B91"/>
    <w:rsid w:val="00CE0A3D"/>
    <w:rsid w:val="00CE0BC8"/>
    <w:rsid w:val="00CE3FED"/>
    <w:rsid w:val="00CE448B"/>
    <w:rsid w:val="00CE7DC8"/>
    <w:rsid w:val="00CF19E8"/>
    <w:rsid w:val="00CF1E8C"/>
    <w:rsid w:val="00CF2130"/>
    <w:rsid w:val="00CF2811"/>
    <w:rsid w:val="00CF40A3"/>
    <w:rsid w:val="00CF4E4D"/>
    <w:rsid w:val="00CF622F"/>
    <w:rsid w:val="00D004D8"/>
    <w:rsid w:val="00D010A6"/>
    <w:rsid w:val="00D02127"/>
    <w:rsid w:val="00D11132"/>
    <w:rsid w:val="00D115C1"/>
    <w:rsid w:val="00D1365C"/>
    <w:rsid w:val="00D23201"/>
    <w:rsid w:val="00D23727"/>
    <w:rsid w:val="00D25D58"/>
    <w:rsid w:val="00D263A8"/>
    <w:rsid w:val="00D3119E"/>
    <w:rsid w:val="00D353B5"/>
    <w:rsid w:val="00D37B2D"/>
    <w:rsid w:val="00D42836"/>
    <w:rsid w:val="00D507D9"/>
    <w:rsid w:val="00D5180D"/>
    <w:rsid w:val="00D531E8"/>
    <w:rsid w:val="00D56C20"/>
    <w:rsid w:val="00D6145F"/>
    <w:rsid w:val="00D63E46"/>
    <w:rsid w:val="00D651F0"/>
    <w:rsid w:val="00D664E9"/>
    <w:rsid w:val="00D6663D"/>
    <w:rsid w:val="00D70292"/>
    <w:rsid w:val="00D716E6"/>
    <w:rsid w:val="00D72B71"/>
    <w:rsid w:val="00D8005A"/>
    <w:rsid w:val="00D832A1"/>
    <w:rsid w:val="00D879A9"/>
    <w:rsid w:val="00D91B6C"/>
    <w:rsid w:val="00D92F8E"/>
    <w:rsid w:val="00D934A9"/>
    <w:rsid w:val="00D93BD7"/>
    <w:rsid w:val="00DA28DD"/>
    <w:rsid w:val="00DA3D64"/>
    <w:rsid w:val="00DA7AE8"/>
    <w:rsid w:val="00DB165C"/>
    <w:rsid w:val="00DB1BF5"/>
    <w:rsid w:val="00DB4EA0"/>
    <w:rsid w:val="00DB4F25"/>
    <w:rsid w:val="00DB60A4"/>
    <w:rsid w:val="00DB7AD9"/>
    <w:rsid w:val="00DC2172"/>
    <w:rsid w:val="00DC2F4D"/>
    <w:rsid w:val="00DC39A9"/>
    <w:rsid w:val="00DC3C5B"/>
    <w:rsid w:val="00DC405B"/>
    <w:rsid w:val="00DC416B"/>
    <w:rsid w:val="00DC64ED"/>
    <w:rsid w:val="00DC7F9F"/>
    <w:rsid w:val="00DD06B1"/>
    <w:rsid w:val="00DD0F9F"/>
    <w:rsid w:val="00DD6026"/>
    <w:rsid w:val="00DD7772"/>
    <w:rsid w:val="00DD7EA6"/>
    <w:rsid w:val="00DE02C1"/>
    <w:rsid w:val="00DE1563"/>
    <w:rsid w:val="00DE32BC"/>
    <w:rsid w:val="00DE7356"/>
    <w:rsid w:val="00DF2FA7"/>
    <w:rsid w:val="00DF36CC"/>
    <w:rsid w:val="00DF4BEB"/>
    <w:rsid w:val="00DF58D7"/>
    <w:rsid w:val="00DF6CC7"/>
    <w:rsid w:val="00E022F1"/>
    <w:rsid w:val="00E11243"/>
    <w:rsid w:val="00E12027"/>
    <w:rsid w:val="00E12F57"/>
    <w:rsid w:val="00E1328D"/>
    <w:rsid w:val="00E15DD6"/>
    <w:rsid w:val="00E206B6"/>
    <w:rsid w:val="00E240E8"/>
    <w:rsid w:val="00E255D0"/>
    <w:rsid w:val="00E27467"/>
    <w:rsid w:val="00E34E37"/>
    <w:rsid w:val="00E35812"/>
    <w:rsid w:val="00E40675"/>
    <w:rsid w:val="00E50572"/>
    <w:rsid w:val="00E506DC"/>
    <w:rsid w:val="00E552A1"/>
    <w:rsid w:val="00E56246"/>
    <w:rsid w:val="00E5701F"/>
    <w:rsid w:val="00E571D3"/>
    <w:rsid w:val="00E60C40"/>
    <w:rsid w:val="00E60FBF"/>
    <w:rsid w:val="00E62055"/>
    <w:rsid w:val="00E63B82"/>
    <w:rsid w:val="00E65E67"/>
    <w:rsid w:val="00E704AB"/>
    <w:rsid w:val="00E7337D"/>
    <w:rsid w:val="00E75527"/>
    <w:rsid w:val="00E776E4"/>
    <w:rsid w:val="00E81222"/>
    <w:rsid w:val="00E81BCA"/>
    <w:rsid w:val="00E82F4A"/>
    <w:rsid w:val="00E849EC"/>
    <w:rsid w:val="00E86F43"/>
    <w:rsid w:val="00E917A7"/>
    <w:rsid w:val="00E91A88"/>
    <w:rsid w:val="00E93515"/>
    <w:rsid w:val="00E93929"/>
    <w:rsid w:val="00E94233"/>
    <w:rsid w:val="00E96FDE"/>
    <w:rsid w:val="00EA12D3"/>
    <w:rsid w:val="00EA1FBC"/>
    <w:rsid w:val="00EA2F9C"/>
    <w:rsid w:val="00EA5F82"/>
    <w:rsid w:val="00EA7EE0"/>
    <w:rsid w:val="00EC19BD"/>
    <w:rsid w:val="00EC2511"/>
    <w:rsid w:val="00EC5929"/>
    <w:rsid w:val="00ED6398"/>
    <w:rsid w:val="00EE10B1"/>
    <w:rsid w:val="00EE4529"/>
    <w:rsid w:val="00EE62DE"/>
    <w:rsid w:val="00EE6842"/>
    <w:rsid w:val="00EF04E4"/>
    <w:rsid w:val="00EF0723"/>
    <w:rsid w:val="00EF0A2B"/>
    <w:rsid w:val="00EF2BC2"/>
    <w:rsid w:val="00EF4DD8"/>
    <w:rsid w:val="00EF669A"/>
    <w:rsid w:val="00EF741D"/>
    <w:rsid w:val="00F0151F"/>
    <w:rsid w:val="00F01B22"/>
    <w:rsid w:val="00F01C0E"/>
    <w:rsid w:val="00F0626B"/>
    <w:rsid w:val="00F07202"/>
    <w:rsid w:val="00F1048E"/>
    <w:rsid w:val="00F10A33"/>
    <w:rsid w:val="00F11071"/>
    <w:rsid w:val="00F115FB"/>
    <w:rsid w:val="00F11C40"/>
    <w:rsid w:val="00F11FBA"/>
    <w:rsid w:val="00F127F0"/>
    <w:rsid w:val="00F138C5"/>
    <w:rsid w:val="00F1540C"/>
    <w:rsid w:val="00F17E0F"/>
    <w:rsid w:val="00F20D25"/>
    <w:rsid w:val="00F23FD7"/>
    <w:rsid w:val="00F24AE7"/>
    <w:rsid w:val="00F27714"/>
    <w:rsid w:val="00F349BB"/>
    <w:rsid w:val="00F34AA2"/>
    <w:rsid w:val="00F35A37"/>
    <w:rsid w:val="00F365B2"/>
    <w:rsid w:val="00F37B00"/>
    <w:rsid w:val="00F421E9"/>
    <w:rsid w:val="00F4292B"/>
    <w:rsid w:val="00F45AB3"/>
    <w:rsid w:val="00F45E6D"/>
    <w:rsid w:val="00F475E6"/>
    <w:rsid w:val="00F47777"/>
    <w:rsid w:val="00F534C0"/>
    <w:rsid w:val="00F545BB"/>
    <w:rsid w:val="00F560D0"/>
    <w:rsid w:val="00F62362"/>
    <w:rsid w:val="00F656F3"/>
    <w:rsid w:val="00F70DD1"/>
    <w:rsid w:val="00F71923"/>
    <w:rsid w:val="00F71CA2"/>
    <w:rsid w:val="00F7325C"/>
    <w:rsid w:val="00F74C33"/>
    <w:rsid w:val="00F74E61"/>
    <w:rsid w:val="00F77646"/>
    <w:rsid w:val="00F77B31"/>
    <w:rsid w:val="00F8238F"/>
    <w:rsid w:val="00F828A4"/>
    <w:rsid w:val="00F82972"/>
    <w:rsid w:val="00F8402A"/>
    <w:rsid w:val="00F86522"/>
    <w:rsid w:val="00F87E21"/>
    <w:rsid w:val="00F87F39"/>
    <w:rsid w:val="00F90A94"/>
    <w:rsid w:val="00F92057"/>
    <w:rsid w:val="00F930CE"/>
    <w:rsid w:val="00F948CA"/>
    <w:rsid w:val="00F963C6"/>
    <w:rsid w:val="00F974B1"/>
    <w:rsid w:val="00FA300F"/>
    <w:rsid w:val="00FA5563"/>
    <w:rsid w:val="00FA5AB3"/>
    <w:rsid w:val="00FA6B91"/>
    <w:rsid w:val="00FA6F14"/>
    <w:rsid w:val="00FB1739"/>
    <w:rsid w:val="00FB2B28"/>
    <w:rsid w:val="00FB4AFA"/>
    <w:rsid w:val="00FB4D10"/>
    <w:rsid w:val="00FB5C52"/>
    <w:rsid w:val="00FB749F"/>
    <w:rsid w:val="00FB77D9"/>
    <w:rsid w:val="00FC5353"/>
    <w:rsid w:val="00FC5A7C"/>
    <w:rsid w:val="00FC79E7"/>
    <w:rsid w:val="00FC7BCE"/>
    <w:rsid w:val="00FD2244"/>
    <w:rsid w:val="00FD6D67"/>
    <w:rsid w:val="00FD7492"/>
    <w:rsid w:val="00FE4BBC"/>
    <w:rsid w:val="00FE56D0"/>
    <w:rsid w:val="00FE56DC"/>
    <w:rsid w:val="00FE5B07"/>
    <w:rsid w:val="00FE6767"/>
    <w:rsid w:val="00FF357A"/>
    <w:rsid w:val="00FF43F4"/>
    <w:rsid w:val="00FF4C9A"/>
    <w:rsid w:val="00FF61C9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720"/>
      </w:tabs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 w:hanging="720"/>
    </w:pPr>
  </w:style>
  <w:style w:type="character" w:customStyle="1" w:styleId="LindaWalden">
    <w:name w:val="Linda Walden"/>
    <w:semiHidden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Level4">
    <w:name w:val="Level 4"/>
    <w:basedOn w:val="Normal"/>
    <w:pPr>
      <w:widowControl w:val="0"/>
      <w:numPr>
        <w:ilvl w:val="3"/>
        <w:numId w:val="59"/>
      </w:numPr>
      <w:autoSpaceDE w:val="0"/>
      <w:autoSpaceDN w:val="0"/>
      <w:adjustRightInd w:val="0"/>
      <w:ind w:left="1440"/>
      <w:outlineLvl w:val="3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7FB4"/>
    <w:pPr>
      <w:spacing w:after="120"/>
    </w:pPr>
  </w:style>
  <w:style w:type="character" w:customStyle="1" w:styleId="BodyTextChar">
    <w:name w:val="Body Text Char"/>
    <w:link w:val="BodyText"/>
    <w:rsid w:val="00117FB4"/>
    <w:rPr>
      <w:sz w:val="24"/>
    </w:rPr>
  </w:style>
  <w:style w:type="paragraph" w:styleId="NoSpacing">
    <w:name w:val="No Spacing"/>
    <w:uiPriority w:val="1"/>
    <w:qFormat/>
    <w:rsid w:val="006A13CA"/>
    <w:rPr>
      <w:sz w:val="24"/>
    </w:rPr>
  </w:style>
  <w:style w:type="paragraph" w:styleId="ListParagraph">
    <w:name w:val="List Paragraph"/>
    <w:basedOn w:val="Normal"/>
    <w:uiPriority w:val="34"/>
    <w:qFormat/>
    <w:rsid w:val="006A13CA"/>
    <w:pPr>
      <w:ind w:left="720"/>
    </w:pPr>
  </w:style>
  <w:style w:type="character" w:customStyle="1" w:styleId="Heading1Char">
    <w:name w:val="Heading 1 Char"/>
    <w:link w:val="Heading1"/>
    <w:rsid w:val="004C5E5E"/>
    <w:rPr>
      <w:b/>
      <w:i/>
      <w:sz w:val="32"/>
    </w:rPr>
  </w:style>
  <w:style w:type="character" w:styleId="Strong">
    <w:name w:val="Strong"/>
    <w:uiPriority w:val="22"/>
    <w:qFormat/>
    <w:rsid w:val="000B0490"/>
    <w:rPr>
      <w:b/>
      <w:bCs/>
    </w:rPr>
  </w:style>
  <w:style w:type="character" w:customStyle="1" w:styleId="Heading2Char">
    <w:name w:val="Heading 2 Char"/>
    <w:link w:val="Heading2"/>
    <w:rsid w:val="00F4292B"/>
    <w:rPr>
      <w:b/>
      <w:sz w:val="36"/>
    </w:rPr>
  </w:style>
  <w:style w:type="character" w:customStyle="1" w:styleId="Heading5Char">
    <w:name w:val="Heading 5 Char"/>
    <w:link w:val="Heading5"/>
    <w:rsid w:val="00F4292B"/>
    <w:rPr>
      <w:b/>
      <w:sz w:val="32"/>
    </w:rPr>
  </w:style>
  <w:style w:type="paragraph" w:styleId="Date">
    <w:name w:val="Date"/>
    <w:basedOn w:val="Normal"/>
    <w:link w:val="DateChar"/>
    <w:rsid w:val="000C1C61"/>
  </w:style>
  <w:style w:type="character" w:customStyle="1" w:styleId="DateChar">
    <w:name w:val="Date Char"/>
    <w:link w:val="Date"/>
    <w:rsid w:val="000C1C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720"/>
      </w:tabs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 w:hanging="720"/>
    </w:pPr>
  </w:style>
  <w:style w:type="character" w:customStyle="1" w:styleId="LindaWalden">
    <w:name w:val="Linda Walden"/>
    <w:semiHidden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Level4">
    <w:name w:val="Level 4"/>
    <w:basedOn w:val="Normal"/>
    <w:pPr>
      <w:widowControl w:val="0"/>
      <w:numPr>
        <w:ilvl w:val="3"/>
        <w:numId w:val="59"/>
      </w:numPr>
      <w:autoSpaceDE w:val="0"/>
      <w:autoSpaceDN w:val="0"/>
      <w:adjustRightInd w:val="0"/>
      <w:ind w:left="1440"/>
      <w:outlineLvl w:val="3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7FB4"/>
    <w:pPr>
      <w:spacing w:after="120"/>
    </w:pPr>
  </w:style>
  <w:style w:type="character" w:customStyle="1" w:styleId="BodyTextChar">
    <w:name w:val="Body Text Char"/>
    <w:link w:val="BodyText"/>
    <w:rsid w:val="00117FB4"/>
    <w:rPr>
      <w:sz w:val="24"/>
    </w:rPr>
  </w:style>
  <w:style w:type="paragraph" w:styleId="NoSpacing">
    <w:name w:val="No Spacing"/>
    <w:uiPriority w:val="1"/>
    <w:qFormat/>
    <w:rsid w:val="006A13CA"/>
    <w:rPr>
      <w:sz w:val="24"/>
    </w:rPr>
  </w:style>
  <w:style w:type="paragraph" w:styleId="ListParagraph">
    <w:name w:val="List Paragraph"/>
    <w:basedOn w:val="Normal"/>
    <w:uiPriority w:val="34"/>
    <w:qFormat/>
    <w:rsid w:val="006A13CA"/>
    <w:pPr>
      <w:ind w:left="720"/>
    </w:pPr>
  </w:style>
  <w:style w:type="character" w:customStyle="1" w:styleId="Heading1Char">
    <w:name w:val="Heading 1 Char"/>
    <w:link w:val="Heading1"/>
    <w:rsid w:val="004C5E5E"/>
    <w:rPr>
      <w:b/>
      <w:i/>
      <w:sz w:val="32"/>
    </w:rPr>
  </w:style>
  <w:style w:type="character" w:styleId="Strong">
    <w:name w:val="Strong"/>
    <w:uiPriority w:val="22"/>
    <w:qFormat/>
    <w:rsid w:val="000B0490"/>
    <w:rPr>
      <w:b/>
      <w:bCs/>
    </w:rPr>
  </w:style>
  <w:style w:type="character" w:customStyle="1" w:styleId="Heading2Char">
    <w:name w:val="Heading 2 Char"/>
    <w:link w:val="Heading2"/>
    <w:rsid w:val="00F4292B"/>
    <w:rPr>
      <w:b/>
      <w:sz w:val="36"/>
    </w:rPr>
  </w:style>
  <w:style w:type="character" w:customStyle="1" w:styleId="Heading5Char">
    <w:name w:val="Heading 5 Char"/>
    <w:link w:val="Heading5"/>
    <w:rsid w:val="00F4292B"/>
    <w:rPr>
      <w:b/>
      <w:sz w:val="32"/>
    </w:rPr>
  </w:style>
  <w:style w:type="paragraph" w:styleId="Date">
    <w:name w:val="Date"/>
    <w:basedOn w:val="Normal"/>
    <w:link w:val="DateChar"/>
    <w:rsid w:val="000C1C61"/>
  </w:style>
  <w:style w:type="character" w:customStyle="1" w:styleId="DateChar">
    <w:name w:val="Date Char"/>
    <w:link w:val="Date"/>
    <w:rsid w:val="000C1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13ED-DD83-4E5E-9FE0-7D9D288A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KILLINGLY, CT</vt:lpstr>
    </vt:vector>
  </TitlesOfParts>
  <Company>Town of Killingly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KILLINGLY, CT</dc:title>
  <dc:creator>dallen</dc:creator>
  <cp:lastModifiedBy>Diane Guertin</cp:lastModifiedBy>
  <cp:revision>2</cp:revision>
  <cp:lastPrinted>2016-04-14T18:24:00Z</cp:lastPrinted>
  <dcterms:created xsi:type="dcterms:W3CDTF">2016-04-14T19:57:00Z</dcterms:created>
  <dcterms:modified xsi:type="dcterms:W3CDTF">2016-04-14T19:57:00Z</dcterms:modified>
</cp:coreProperties>
</file>